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02C6A6">
      <w:pPr>
        <w:pStyle w:val="2"/>
        <w:spacing w:before="120" w:after="120" w:line="360" w:lineRule="auto"/>
        <w:jc w:val="center"/>
        <w:rPr>
          <w:sz w:val="30"/>
          <w:szCs w:val="30"/>
        </w:rPr>
      </w:pPr>
      <w:r>
        <w:rPr>
          <w:rFonts w:hint="eastAsia"/>
          <w:sz w:val="30"/>
          <w:szCs w:val="30"/>
          <w:lang w:val="en-US" w:eastAsia="zh-CN"/>
        </w:rPr>
        <w:t>二</w:t>
      </w:r>
      <w:bookmarkStart w:id="0" w:name="_GoBack"/>
      <w:bookmarkEnd w:id="0"/>
      <w:r>
        <w:rPr>
          <w:rFonts w:hint="eastAsia"/>
          <w:sz w:val="30"/>
          <w:szCs w:val="30"/>
        </w:rPr>
        <w:t>、评审办法</w:t>
      </w:r>
    </w:p>
    <w:p w14:paraId="5DACC6C9">
      <w:pPr>
        <w:spacing w:line="360" w:lineRule="auto"/>
        <w:ind w:firstLine="480" w:firstLineChars="200"/>
        <w:rPr>
          <w:color w:val="000000"/>
          <w:sz w:val="24"/>
          <w:szCs w:val="24"/>
        </w:rPr>
      </w:pPr>
      <w:r>
        <w:rPr>
          <w:rFonts w:hint="eastAsia"/>
          <w:color w:val="000000"/>
          <w:sz w:val="24"/>
          <w:szCs w:val="24"/>
        </w:rPr>
        <w:t>本项目采用综合评分法进行评审，在最大限度地满足询价文件实质性要求前提下，按照询价文件中规定的各项因素进行综合评审。综合评分法的主要因素是：技术部分、商务分以及相应的比重。</w:t>
      </w:r>
    </w:p>
    <w:p w14:paraId="49843035">
      <w:pPr>
        <w:spacing w:line="360" w:lineRule="auto"/>
        <w:ind w:firstLine="480" w:firstLineChars="200"/>
        <w:rPr>
          <w:color w:val="000000"/>
          <w:sz w:val="24"/>
          <w:szCs w:val="24"/>
        </w:rPr>
      </w:pPr>
      <w:r>
        <w:rPr>
          <w:rFonts w:hint="eastAsia"/>
          <w:color w:val="000000"/>
          <w:sz w:val="24"/>
          <w:szCs w:val="24"/>
        </w:rPr>
        <w:t>询价小组遵循规定的评审原则，对供应商进行初审、详细评审、报价部分得分计算和确定成交候选人。</w:t>
      </w:r>
    </w:p>
    <w:p w14:paraId="653F3D89">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1、初审</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559"/>
        <w:gridCol w:w="2552"/>
        <w:gridCol w:w="708"/>
        <w:gridCol w:w="2631"/>
      </w:tblGrid>
      <w:tr w14:paraId="29F60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8296" w:type="dxa"/>
            <w:gridSpan w:val="5"/>
            <w:vAlign w:val="center"/>
          </w:tcPr>
          <w:p w14:paraId="35196F8C">
            <w:pPr>
              <w:spacing w:line="360" w:lineRule="auto"/>
              <w:jc w:val="center"/>
              <w:rPr>
                <w:b/>
                <w:sz w:val="24"/>
                <w:szCs w:val="24"/>
              </w:rPr>
            </w:pPr>
            <w:r>
              <w:rPr>
                <w:rFonts w:hint="eastAsia"/>
                <w:b/>
                <w:sz w:val="24"/>
                <w:szCs w:val="24"/>
              </w:rPr>
              <w:t>评审表（有效性评审指标一览表）</w:t>
            </w:r>
          </w:p>
        </w:tc>
      </w:tr>
      <w:tr w14:paraId="22E7E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02EE54DC">
            <w:pPr>
              <w:spacing w:line="360" w:lineRule="auto"/>
              <w:jc w:val="center"/>
              <w:rPr>
                <w:rFonts w:asciiTheme="minorEastAsia" w:hAnsiTheme="minorEastAsia"/>
                <w:sz w:val="24"/>
                <w:szCs w:val="24"/>
              </w:rPr>
            </w:pPr>
            <w:r>
              <w:rPr>
                <w:rFonts w:hint="eastAsia" w:asciiTheme="minorEastAsia" w:hAnsiTheme="minorEastAsia"/>
                <w:sz w:val="24"/>
                <w:szCs w:val="24"/>
              </w:rPr>
              <w:t>序号</w:t>
            </w:r>
          </w:p>
        </w:tc>
        <w:tc>
          <w:tcPr>
            <w:tcW w:w="1559" w:type="dxa"/>
            <w:vAlign w:val="center"/>
          </w:tcPr>
          <w:p w14:paraId="65DA097A">
            <w:pPr>
              <w:spacing w:line="360" w:lineRule="auto"/>
              <w:rPr>
                <w:rFonts w:asciiTheme="minorEastAsia" w:hAnsiTheme="minorEastAsia"/>
                <w:sz w:val="24"/>
                <w:szCs w:val="24"/>
              </w:rPr>
            </w:pPr>
            <w:r>
              <w:rPr>
                <w:rFonts w:hint="eastAsia" w:asciiTheme="minorEastAsia" w:hAnsiTheme="minorEastAsia"/>
                <w:sz w:val="24"/>
                <w:szCs w:val="24"/>
              </w:rPr>
              <w:t>指标名称</w:t>
            </w:r>
          </w:p>
        </w:tc>
        <w:tc>
          <w:tcPr>
            <w:tcW w:w="2552" w:type="dxa"/>
            <w:vAlign w:val="center"/>
          </w:tcPr>
          <w:p w14:paraId="4DB09E60">
            <w:pPr>
              <w:spacing w:line="360" w:lineRule="auto"/>
              <w:jc w:val="left"/>
              <w:rPr>
                <w:rFonts w:asciiTheme="minorEastAsia" w:hAnsiTheme="minorEastAsia"/>
                <w:sz w:val="24"/>
                <w:szCs w:val="24"/>
              </w:rPr>
            </w:pPr>
            <w:r>
              <w:rPr>
                <w:rFonts w:hint="eastAsia" w:asciiTheme="minorEastAsia" w:hAnsiTheme="minorEastAsia"/>
                <w:sz w:val="24"/>
                <w:szCs w:val="24"/>
              </w:rPr>
              <w:t>指标要求</w:t>
            </w:r>
          </w:p>
        </w:tc>
        <w:tc>
          <w:tcPr>
            <w:tcW w:w="708" w:type="dxa"/>
            <w:vAlign w:val="center"/>
          </w:tcPr>
          <w:p w14:paraId="74B3ED7D">
            <w:pPr>
              <w:spacing w:line="360" w:lineRule="auto"/>
              <w:jc w:val="left"/>
              <w:rPr>
                <w:rFonts w:asciiTheme="minorEastAsia" w:hAnsiTheme="minorEastAsia"/>
                <w:sz w:val="24"/>
                <w:szCs w:val="24"/>
              </w:rPr>
            </w:pPr>
            <w:r>
              <w:rPr>
                <w:rFonts w:hint="eastAsia" w:asciiTheme="minorEastAsia" w:hAnsiTheme="minorEastAsia"/>
                <w:sz w:val="24"/>
                <w:szCs w:val="24"/>
              </w:rPr>
              <w:t>是否通过</w:t>
            </w:r>
          </w:p>
        </w:tc>
        <w:tc>
          <w:tcPr>
            <w:tcW w:w="2631" w:type="dxa"/>
            <w:vAlign w:val="center"/>
          </w:tcPr>
          <w:p w14:paraId="62624858">
            <w:pPr>
              <w:spacing w:line="360" w:lineRule="auto"/>
              <w:rPr>
                <w:rFonts w:asciiTheme="minorEastAsia" w:hAnsiTheme="minorEastAsia"/>
                <w:sz w:val="24"/>
                <w:szCs w:val="24"/>
              </w:rPr>
            </w:pPr>
            <w:r>
              <w:rPr>
                <w:rFonts w:hint="eastAsia" w:asciiTheme="minorEastAsia" w:hAnsiTheme="minorEastAsia"/>
                <w:sz w:val="24"/>
                <w:szCs w:val="24"/>
              </w:rPr>
              <w:t>响应文件格式及提交资料要求</w:t>
            </w:r>
          </w:p>
        </w:tc>
      </w:tr>
      <w:tr w14:paraId="11062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6BA3234B">
            <w:pPr>
              <w:spacing w:line="360" w:lineRule="auto"/>
              <w:jc w:val="center"/>
              <w:rPr>
                <w:rFonts w:asciiTheme="minorEastAsia" w:hAnsiTheme="minorEastAsia"/>
                <w:sz w:val="24"/>
                <w:szCs w:val="24"/>
              </w:rPr>
            </w:pPr>
            <w:r>
              <w:rPr>
                <w:rFonts w:hint="eastAsia" w:asciiTheme="minorEastAsia" w:hAnsiTheme="minorEastAsia"/>
                <w:sz w:val="24"/>
                <w:szCs w:val="24"/>
              </w:rPr>
              <w:t>1</w:t>
            </w:r>
          </w:p>
        </w:tc>
        <w:tc>
          <w:tcPr>
            <w:tcW w:w="1559" w:type="dxa"/>
            <w:vAlign w:val="center"/>
          </w:tcPr>
          <w:p w14:paraId="76B5AA12">
            <w:pPr>
              <w:spacing w:line="360" w:lineRule="auto"/>
              <w:rPr>
                <w:rFonts w:asciiTheme="minorEastAsia" w:hAnsiTheme="minorEastAsia"/>
                <w:sz w:val="24"/>
                <w:szCs w:val="24"/>
              </w:rPr>
            </w:pPr>
            <w:r>
              <w:rPr>
                <w:rFonts w:hint="eastAsia" w:asciiTheme="minorEastAsia" w:hAnsiTheme="minorEastAsia"/>
                <w:color w:val="000000"/>
                <w:sz w:val="24"/>
                <w:szCs w:val="24"/>
              </w:rPr>
              <w:t>营业执照</w:t>
            </w:r>
          </w:p>
        </w:tc>
        <w:tc>
          <w:tcPr>
            <w:tcW w:w="2552" w:type="dxa"/>
            <w:vAlign w:val="center"/>
          </w:tcPr>
          <w:p w14:paraId="2DC1BD7C">
            <w:pPr>
              <w:spacing w:line="360" w:lineRule="auto"/>
              <w:jc w:val="left"/>
              <w:rPr>
                <w:rFonts w:asciiTheme="minorEastAsia" w:hAnsiTheme="minorEastAsia"/>
                <w:sz w:val="24"/>
                <w:szCs w:val="24"/>
              </w:rPr>
            </w:pPr>
            <w:r>
              <w:rPr>
                <w:rFonts w:hint="eastAsia" w:asciiTheme="minorEastAsia" w:hAnsiTheme="minorEastAsia"/>
                <w:color w:val="000000"/>
                <w:sz w:val="24"/>
                <w:szCs w:val="24"/>
              </w:rPr>
              <w:t>合法有效</w:t>
            </w:r>
          </w:p>
        </w:tc>
        <w:tc>
          <w:tcPr>
            <w:tcW w:w="708" w:type="dxa"/>
            <w:vAlign w:val="center"/>
          </w:tcPr>
          <w:p w14:paraId="06403DCE">
            <w:pPr>
              <w:spacing w:line="360" w:lineRule="auto"/>
              <w:rPr>
                <w:rFonts w:asciiTheme="minorEastAsia" w:hAnsiTheme="minorEastAsia"/>
                <w:sz w:val="24"/>
                <w:szCs w:val="24"/>
              </w:rPr>
            </w:pPr>
          </w:p>
        </w:tc>
        <w:tc>
          <w:tcPr>
            <w:tcW w:w="2631" w:type="dxa"/>
            <w:vAlign w:val="center"/>
          </w:tcPr>
          <w:p w14:paraId="0BB5C1DA">
            <w:pPr>
              <w:spacing w:line="360" w:lineRule="auto"/>
              <w:rPr>
                <w:rFonts w:asciiTheme="minorEastAsia" w:hAnsiTheme="minorEastAsia"/>
                <w:sz w:val="24"/>
                <w:szCs w:val="24"/>
              </w:rPr>
            </w:pPr>
            <w:r>
              <w:rPr>
                <w:rFonts w:hint="eastAsia" w:asciiTheme="minorEastAsia" w:hAnsiTheme="minorEastAsia"/>
                <w:sz w:val="24"/>
                <w:szCs w:val="24"/>
              </w:rPr>
              <w:t>提供有效的营业执照扫</w:t>
            </w:r>
          </w:p>
          <w:p w14:paraId="61A6257F">
            <w:pPr>
              <w:spacing w:line="360" w:lineRule="auto"/>
              <w:rPr>
                <w:rFonts w:asciiTheme="minorEastAsia" w:hAnsiTheme="minorEastAsia"/>
                <w:sz w:val="24"/>
                <w:szCs w:val="24"/>
              </w:rPr>
            </w:pPr>
            <w:r>
              <w:rPr>
                <w:rFonts w:hint="eastAsia" w:asciiTheme="minorEastAsia" w:hAnsiTheme="minorEastAsia"/>
                <w:sz w:val="24"/>
                <w:szCs w:val="24"/>
              </w:rPr>
              <w:t>描件，应完整的体现出</w:t>
            </w:r>
          </w:p>
          <w:p w14:paraId="1DDD99CF">
            <w:pPr>
              <w:spacing w:line="360" w:lineRule="auto"/>
              <w:rPr>
                <w:rFonts w:asciiTheme="minorEastAsia" w:hAnsiTheme="minorEastAsia"/>
                <w:sz w:val="24"/>
                <w:szCs w:val="24"/>
              </w:rPr>
            </w:pPr>
            <w:r>
              <w:rPr>
                <w:rFonts w:hint="eastAsia" w:asciiTheme="minorEastAsia" w:hAnsiTheme="minorEastAsia"/>
                <w:sz w:val="24"/>
                <w:szCs w:val="24"/>
              </w:rPr>
              <w:t>营业执照的全部内容。</w:t>
            </w:r>
          </w:p>
          <w:p w14:paraId="697C8020">
            <w:pPr>
              <w:spacing w:line="360" w:lineRule="auto"/>
              <w:rPr>
                <w:rFonts w:asciiTheme="minorEastAsia" w:hAnsiTheme="minorEastAsia"/>
                <w:sz w:val="24"/>
                <w:szCs w:val="24"/>
              </w:rPr>
            </w:pPr>
            <w:r>
              <w:rPr>
                <w:rFonts w:hint="eastAsia" w:asciiTheme="minorEastAsia" w:hAnsiTheme="minorEastAsia"/>
                <w:sz w:val="24"/>
                <w:szCs w:val="24"/>
              </w:rPr>
              <w:t>联合体询比的，联合体</w:t>
            </w:r>
          </w:p>
          <w:p w14:paraId="595C3E0E">
            <w:pPr>
              <w:spacing w:line="360" w:lineRule="auto"/>
              <w:rPr>
                <w:rFonts w:asciiTheme="minorEastAsia" w:hAnsiTheme="minorEastAsia"/>
                <w:sz w:val="24"/>
                <w:szCs w:val="24"/>
              </w:rPr>
            </w:pPr>
            <w:r>
              <w:rPr>
                <w:rFonts w:hint="eastAsia" w:asciiTheme="minorEastAsia" w:hAnsiTheme="minorEastAsia"/>
                <w:sz w:val="24"/>
                <w:szCs w:val="24"/>
              </w:rPr>
              <w:t>各方均须提供。</w:t>
            </w:r>
          </w:p>
        </w:tc>
      </w:tr>
      <w:tr w14:paraId="53C53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31740B9E">
            <w:pPr>
              <w:spacing w:line="360" w:lineRule="auto"/>
              <w:jc w:val="center"/>
              <w:rPr>
                <w:rFonts w:asciiTheme="minorEastAsia" w:hAnsiTheme="minorEastAsia"/>
                <w:sz w:val="24"/>
                <w:szCs w:val="24"/>
              </w:rPr>
            </w:pPr>
            <w:r>
              <w:rPr>
                <w:rFonts w:hint="eastAsia" w:asciiTheme="minorEastAsia" w:hAnsiTheme="minorEastAsia"/>
                <w:sz w:val="24"/>
                <w:szCs w:val="24"/>
              </w:rPr>
              <w:t>2</w:t>
            </w:r>
          </w:p>
        </w:tc>
        <w:tc>
          <w:tcPr>
            <w:tcW w:w="1559" w:type="dxa"/>
            <w:vAlign w:val="center"/>
          </w:tcPr>
          <w:p w14:paraId="484E58B6">
            <w:pPr>
              <w:spacing w:line="360" w:lineRule="auto"/>
              <w:rPr>
                <w:rFonts w:asciiTheme="minorEastAsia" w:hAnsiTheme="minorEastAsia"/>
                <w:sz w:val="24"/>
                <w:szCs w:val="24"/>
              </w:rPr>
            </w:pPr>
            <w:r>
              <w:rPr>
                <w:rFonts w:hint="eastAsia" w:asciiTheme="minorEastAsia" w:hAnsiTheme="minorEastAsia"/>
                <w:color w:val="000000"/>
                <w:sz w:val="24"/>
                <w:szCs w:val="24"/>
              </w:rPr>
              <w:t>投标授权书</w:t>
            </w:r>
          </w:p>
        </w:tc>
        <w:tc>
          <w:tcPr>
            <w:tcW w:w="2552" w:type="dxa"/>
            <w:vAlign w:val="center"/>
          </w:tcPr>
          <w:p w14:paraId="4C8A08E8">
            <w:pPr>
              <w:spacing w:line="360" w:lineRule="auto"/>
              <w:jc w:val="left"/>
              <w:rPr>
                <w:rFonts w:asciiTheme="minorEastAsia" w:hAnsiTheme="minorEastAsia"/>
                <w:sz w:val="24"/>
                <w:szCs w:val="24"/>
              </w:rPr>
            </w:pPr>
            <w:r>
              <w:rPr>
                <w:rFonts w:hint="eastAsia" w:asciiTheme="minorEastAsia" w:hAnsiTheme="minorEastAsia"/>
                <w:sz w:val="24"/>
                <w:szCs w:val="24"/>
              </w:rPr>
              <w:t>符合询比文件要求</w:t>
            </w:r>
          </w:p>
        </w:tc>
        <w:tc>
          <w:tcPr>
            <w:tcW w:w="708" w:type="dxa"/>
            <w:vAlign w:val="center"/>
          </w:tcPr>
          <w:p w14:paraId="2149C402">
            <w:pPr>
              <w:spacing w:line="360" w:lineRule="auto"/>
              <w:rPr>
                <w:rFonts w:asciiTheme="minorEastAsia" w:hAnsiTheme="minorEastAsia"/>
                <w:sz w:val="24"/>
                <w:szCs w:val="24"/>
              </w:rPr>
            </w:pPr>
          </w:p>
        </w:tc>
        <w:tc>
          <w:tcPr>
            <w:tcW w:w="2631" w:type="dxa"/>
            <w:vAlign w:val="center"/>
          </w:tcPr>
          <w:p w14:paraId="7CB9CC2B">
            <w:pPr>
              <w:spacing w:line="360" w:lineRule="auto"/>
              <w:rPr>
                <w:rFonts w:asciiTheme="minorEastAsia" w:hAnsiTheme="minorEastAsia"/>
                <w:sz w:val="24"/>
                <w:szCs w:val="24"/>
              </w:rPr>
            </w:pPr>
          </w:p>
        </w:tc>
      </w:tr>
      <w:tr w14:paraId="735A3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70ED4BE3">
            <w:pPr>
              <w:spacing w:line="360" w:lineRule="auto"/>
              <w:jc w:val="center"/>
              <w:rPr>
                <w:rFonts w:asciiTheme="minorEastAsia" w:hAnsiTheme="minorEastAsia"/>
                <w:sz w:val="24"/>
                <w:szCs w:val="24"/>
              </w:rPr>
            </w:pPr>
            <w:r>
              <w:rPr>
                <w:rFonts w:hint="eastAsia" w:asciiTheme="minorEastAsia" w:hAnsiTheme="minorEastAsia"/>
                <w:sz w:val="24"/>
                <w:szCs w:val="24"/>
              </w:rPr>
              <w:t>3</w:t>
            </w:r>
          </w:p>
        </w:tc>
        <w:tc>
          <w:tcPr>
            <w:tcW w:w="1559" w:type="dxa"/>
            <w:vAlign w:val="center"/>
          </w:tcPr>
          <w:p w14:paraId="576D4E60">
            <w:pPr>
              <w:spacing w:line="360" w:lineRule="auto"/>
              <w:rPr>
                <w:rFonts w:asciiTheme="minorEastAsia" w:hAnsiTheme="minorEastAsia"/>
                <w:sz w:val="24"/>
                <w:szCs w:val="24"/>
              </w:rPr>
            </w:pPr>
            <w:r>
              <w:rPr>
                <w:rFonts w:hint="eastAsia" w:asciiTheme="minorEastAsia" w:hAnsiTheme="minorEastAsia"/>
                <w:color w:val="000000"/>
                <w:sz w:val="24"/>
                <w:szCs w:val="24"/>
              </w:rPr>
              <w:t>报价表</w:t>
            </w:r>
          </w:p>
        </w:tc>
        <w:tc>
          <w:tcPr>
            <w:tcW w:w="2552" w:type="dxa"/>
            <w:vAlign w:val="center"/>
          </w:tcPr>
          <w:p w14:paraId="226D49C8">
            <w:pPr>
              <w:spacing w:line="360" w:lineRule="auto"/>
              <w:jc w:val="left"/>
              <w:rPr>
                <w:rFonts w:asciiTheme="minorEastAsia" w:hAnsiTheme="minorEastAsia"/>
                <w:sz w:val="24"/>
                <w:szCs w:val="24"/>
              </w:rPr>
            </w:pPr>
            <w:r>
              <w:rPr>
                <w:rFonts w:hint="eastAsia" w:asciiTheme="minorEastAsia" w:hAnsiTheme="minorEastAsia"/>
                <w:sz w:val="24"/>
                <w:szCs w:val="24"/>
              </w:rPr>
              <w:t>符合询比文件要求</w:t>
            </w:r>
          </w:p>
        </w:tc>
        <w:tc>
          <w:tcPr>
            <w:tcW w:w="708" w:type="dxa"/>
            <w:vAlign w:val="center"/>
          </w:tcPr>
          <w:p w14:paraId="4AF53457">
            <w:pPr>
              <w:spacing w:line="360" w:lineRule="auto"/>
              <w:rPr>
                <w:rFonts w:asciiTheme="minorEastAsia" w:hAnsiTheme="minorEastAsia"/>
                <w:sz w:val="24"/>
                <w:szCs w:val="24"/>
              </w:rPr>
            </w:pPr>
          </w:p>
        </w:tc>
        <w:tc>
          <w:tcPr>
            <w:tcW w:w="2631" w:type="dxa"/>
            <w:vAlign w:val="center"/>
          </w:tcPr>
          <w:p w14:paraId="4912E541">
            <w:pPr>
              <w:spacing w:line="360" w:lineRule="auto"/>
              <w:rPr>
                <w:rFonts w:asciiTheme="minorEastAsia" w:hAnsiTheme="minorEastAsia"/>
                <w:sz w:val="24"/>
                <w:szCs w:val="24"/>
              </w:rPr>
            </w:pPr>
          </w:p>
        </w:tc>
      </w:tr>
      <w:tr w14:paraId="59908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220DCE6B">
            <w:pPr>
              <w:spacing w:line="360" w:lineRule="auto"/>
              <w:jc w:val="center"/>
              <w:rPr>
                <w:rFonts w:asciiTheme="minorEastAsia" w:hAnsiTheme="minorEastAsia"/>
                <w:sz w:val="24"/>
                <w:szCs w:val="24"/>
              </w:rPr>
            </w:pPr>
            <w:r>
              <w:rPr>
                <w:rFonts w:hint="eastAsia" w:asciiTheme="minorEastAsia" w:hAnsiTheme="minorEastAsia"/>
                <w:sz w:val="24"/>
                <w:szCs w:val="24"/>
              </w:rPr>
              <w:t>4</w:t>
            </w:r>
          </w:p>
        </w:tc>
        <w:tc>
          <w:tcPr>
            <w:tcW w:w="1559" w:type="dxa"/>
            <w:vAlign w:val="center"/>
          </w:tcPr>
          <w:p w14:paraId="62BE7512">
            <w:pPr>
              <w:spacing w:line="360" w:lineRule="auto"/>
              <w:rPr>
                <w:rFonts w:asciiTheme="minorEastAsia" w:hAnsiTheme="minorEastAsia"/>
                <w:sz w:val="24"/>
                <w:szCs w:val="24"/>
              </w:rPr>
            </w:pPr>
            <w:r>
              <w:rPr>
                <w:rFonts w:hint="eastAsia" w:asciiTheme="minorEastAsia" w:hAnsiTheme="minorEastAsia"/>
                <w:color w:val="000000"/>
                <w:sz w:val="24"/>
                <w:szCs w:val="24"/>
              </w:rPr>
              <w:t>供应商信用</w:t>
            </w:r>
          </w:p>
        </w:tc>
        <w:tc>
          <w:tcPr>
            <w:tcW w:w="2552" w:type="dxa"/>
            <w:vAlign w:val="center"/>
          </w:tcPr>
          <w:p w14:paraId="4AD0ABB5">
            <w:pPr>
              <w:widowControl/>
              <w:spacing w:line="360" w:lineRule="auto"/>
              <w:jc w:val="left"/>
              <w:rPr>
                <w:rFonts w:asciiTheme="minorEastAsia" w:hAnsiTheme="minorEastAsia"/>
                <w:sz w:val="24"/>
                <w:szCs w:val="24"/>
              </w:rPr>
            </w:pPr>
            <w:r>
              <w:rPr>
                <w:rFonts w:hint="eastAsia" w:asciiTheme="minorEastAsia" w:hAnsiTheme="minorEastAsia"/>
                <w:sz w:val="24"/>
                <w:szCs w:val="24"/>
              </w:rPr>
              <w:t>供应商存在以下不良信用记录情形规定的任何一种情形，以信用查询为依据</w:t>
            </w:r>
          </w:p>
        </w:tc>
        <w:tc>
          <w:tcPr>
            <w:tcW w:w="708" w:type="dxa"/>
            <w:vAlign w:val="center"/>
          </w:tcPr>
          <w:p w14:paraId="2DEFD37E">
            <w:pPr>
              <w:spacing w:line="360" w:lineRule="auto"/>
              <w:rPr>
                <w:rFonts w:asciiTheme="minorEastAsia" w:hAnsiTheme="minorEastAsia"/>
                <w:sz w:val="24"/>
                <w:szCs w:val="24"/>
              </w:rPr>
            </w:pPr>
          </w:p>
        </w:tc>
        <w:tc>
          <w:tcPr>
            <w:tcW w:w="2631" w:type="dxa"/>
            <w:vAlign w:val="center"/>
          </w:tcPr>
          <w:p w14:paraId="61791B4D">
            <w:pPr>
              <w:spacing w:line="360" w:lineRule="auto"/>
              <w:rPr>
                <w:rFonts w:asciiTheme="minorEastAsia" w:hAnsiTheme="minorEastAsia"/>
                <w:sz w:val="24"/>
                <w:szCs w:val="24"/>
              </w:rPr>
            </w:pPr>
          </w:p>
        </w:tc>
      </w:tr>
      <w:tr w14:paraId="354E0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65B8452E">
            <w:pPr>
              <w:spacing w:line="360" w:lineRule="auto"/>
              <w:jc w:val="center"/>
              <w:rPr>
                <w:rFonts w:asciiTheme="minorEastAsia" w:hAnsiTheme="minorEastAsia"/>
                <w:sz w:val="24"/>
                <w:szCs w:val="24"/>
              </w:rPr>
            </w:pPr>
            <w:r>
              <w:rPr>
                <w:rFonts w:hint="eastAsia" w:asciiTheme="minorEastAsia" w:hAnsiTheme="minorEastAsia"/>
                <w:sz w:val="24"/>
                <w:szCs w:val="24"/>
              </w:rPr>
              <w:t>5</w:t>
            </w:r>
          </w:p>
        </w:tc>
        <w:tc>
          <w:tcPr>
            <w:tcW w:w="1559" w:type="dxa"/>
            <w:vAlign w:val="center"/>
          </w:tcPr>
          <w:p w14:paraId="093C73CB">
            <w:pPr>
              <w:spacing w:line="360" w:lineRule="auto"/>
              <w:rPr>
                <w:rFonts w:asciiTheme="minorEastAsia" w:hAnsiTheme="minorEastAsia"/>
                <w:color w:val="000000"/>
                <w:sz w:val="24"/>
                <w:szCs w:val="24"/>
              </w:rPr>
            </w:pPr>
            <w:r>
              <w:rPr>
                <w:rFonts w:hint="eastAsia" w:asciiTheme="minorEastAsia" w:hAnsiTheme="minorEastAsia"/>
                <w:color w:val="000000"/>
                <w:sz w:val="24"/>
                <w:szCs w:val="24"/>
              </w:rPr>
              <w:t>标书响应情况</w:t>
            </w:r>
          </w:p>
        </w:tc>
        <w:tc>
          <w:tcPr>
            <w:tcW w:w="2552" w:type="dxa"/>
            <w:vAlign w:val="center"/>
          </w:tcPr>
          <w:p w14:paraId="400751DE">
            <w:pPr>
              <w:spacing w:line="360" w:lineRule="auto"/>
              <w:jc w:val="left"/>
              <w:rPr>
                <w:rFonts w:asciiTheme="minorEastAsia" w:hAnsiTheme="minorEastAsia"/>
                <w:sz w:val="24"/>
                <w:szCs w:val="24"/>
              </w:rPr>
            </w:pPr>
            <w:r>
              <w:rPr>
                <w:rFonts w:hint="eastAsia" w:cs="宋体" w:asciiTheme="minorEastAsia" w:hAnsiTheme="minorEastAsia"/>
                <w:color w:val="000000"/>
                <w:kern w:val="0"/>
                <w:sz w:val="24"/>
                <w:szCs w:val="24"/>
              </w:rPr>
              <w:t>付款响应、服务期限响应</w:t>
            </w:r>
          </w:p>
        </w:tc>
        <w:tc>
          <w:tcPr>
            <w:tcW w:w="708" w:type="dxa"/>
            <w:vAlign w:val="center"/>
          </w:tcPr>
          <w:p w14:paraId="3A138FFD">
            <w:pPr>
              <w:spacing w:line="360" w:lineRule="auto"/>
              <w:rPr>
                <w:rFonts w:asciiTheme="minorEastAsia" w:hAnsiTheme="minorEastAsia"/>
                <w:sz w:val="24"/>
                <w:szCs w:val="24"/>
              </w:rPr>
            </w:pPr>
          </w:p>
        </w:tc>
        <w:tc>
          <w:tcPr>
            <w:tcW w:w="2631" w:type="dxa"/>
            <w:vAlign w:val="center"/>
          </w:tcPr>
          <w:p w14:paraId="5614A917">
            <w:pPr>
              <w:spacing w:line="360" w:lineRule="auto"/>
              <w:rPr>
                <w:rFonts w:asciiTheme="minorEastAsia" w:hAnsiTheme="minorEastAsia"/>
                <w:sz w:val="24"/>
                <w:szCs w:val="24"/>
              </w:rPr>
            </w:pPr>
          </w:p>
        </w:tc>
      </w:tr>
      <w:tr w14:paraId="2C58B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0B0ADA4D">
            <w:pPr>
              <w:spacing w:line="360" w:lineRule="auto"/>
              <w:jc w:val="center"/>
              <w:rPr>
                <w:rFonts w:asciiTheme="minorEastAsia" w:hAnsiTheme="minorEastAsia"/>
                <w:sz w:val="24"/>
                <w:szCs w:val="24"/>
              </w:rPr>
            </w:pPr>
            <w:r>
              <w:rPr>
                <w:rFonts w:hint="eastAsia" w:asciiTheme="minorEastAsia" w:hAnsiTheme="minorEastAsia"/>
                <w:sz w:val="24"/>
                <w:szCs w:val="24"/>
              </w:rPr>
              <w:t>6</w:t>
            </w:r>
          </w:p>
        </w:tc>
        <w:tc>
          <w:tcPr>
            <w:tcW w:w="1559" w:type="dxa"/>
            <w:vAlign w:val="center"/>
          </w:tcPr>
          <w:p w14:paraId="7D5D6636">
            <w:pPr>
              <w:spacing w:line="360" w:lineRule="auto"/>
              <w:rPr>
                <w:rFonts w:asciiTheme="minorEastAsia" w:hAnsiTheme="minorEastAsia"/>
                <w:color w:val="000000"/>
                <w:sz w:val="24"/>
                <w:szCs w:val="24"/>
              </w:rPr>
            </w:pPr>
            <w:r>
              <w:rPr>
                <w:rFonts w:hint="eastAsia" w:asciiTheme="minorEastAsia" w:hAnsiTheme="minorEastAsia"/>
                <w:color w:val="000000"/>
                <w:sz w:val="24"/>
                <w:szCs w:val="24"/>
              </w:rPr>
              <w:t>标书规范性</w:t>
            </w:r>
          </w:p>
        </w:tc>
        <w:tc>
          <w:tcPr>
            <w:tcW w:w="2552" w:type="dxa"/>
            <w:vAlign w:val="center"/>
          </w:tcPr>
          <w:p w14:paraId="0F9BB16F">
            <w:pPr>
              <w:spacing w:line="360" w:lineRule="auto"/>
              <w:jc w:val="left"/>
              <w:rPr>
                <w:rFonts w:asciiTheme="minorEastAsia" w:hAnsiTheme="minorEastAsia"/>
                <w:sz w:val="24"/>
                <w:szCs w:val="24"/>
              </w:rPr>
            </w:pPr>
            <w:r>
              <w:rPr>
                <w:rFonts w:hint="eastAsia" w:asciiTheme="minorEastAsia" w:hAnsiTheme="minorEastAsia"/>
                <w:sz w:val="24"/>
                <w:szCs w:val="24"/>
              </w:rPr>
              <w:t>无严重的编排混乱、内容不全或字迹模糊辨认不清、前后矛盾情况，对评标无实质性影响的</w:t>
            </w:r>
          </w:p>
        </w:tc>
        <w:tc>
          <w:tcPr>
            <w:tcW w:w="708" w:type="dxa"/>
            <w:vAlign w:val="center"/>
          </w:tcPr>
          <w:p w14:paraId="65F63FF5">
            <w:pPr>
              <w:spacing w:line="360" w:lineRule="auto"/>
              <w:rPr>
                <w:rFonts w:asciiTheme="minorEastAsia" w:hAnsiTheme="minorEastAsia"/>
                <w:sz w:val="24"/>
                <w:szCs w:val="24"/>
              </w:rPr>
            </w:pPr>
          </w:p>
        </w:tc>
        <w:tc>
          <w:tcPr>
            <w:tcW w:w="2631" w:type="dxa"/>
            <w:vAlign w:val="center"/>
          </w:tcPr>
          <w:p w14:paraId="4ABAD3BD">
            <w:pPr>
              <w:spacing w:line="360" w:lineRule="auto"/>
              <w:rPr>
                <w:rFonts w:asciiTheme="minorEastAsia" w:hAnsiTheme="minorEastAsia"/>
                <w:sz w:val="24"/>
                <w:szCs w:val="24"/>
              </w:rPr>
            </w:pPr>
          </w:p>
        </w:tc>
      </w:tr>
      <w:tr w14:paraId="101E9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0D633752">
            <w:pPr>
              <w:spacing w:line="360" w:lineRule="auto"/>
              <w:jc w:val="center"/>
              <w:rPr>
                <w:rFonts w:asciiTheme="minorEastAsia" w:hAnsiTheme="minorEastAsia"/>
                <w:sz w:val="24"/>
                <w:szCs w:val="24"/>
              </w:rPr>
            </w:pPr>
            <w:r>
              <w:rPr>
                <w:rFonts w:asciiTheme="minorEastAsia" w:hAnsiTheme="minorEastAsia"/>
                <w:sz w:val="24"/>
                <w:szCs w:val="24"/>
              </w:rPr>
              <w:t>7</w:t>
            </w:r>
          </w:p>
        </w:tc>
        <w:tc>
          <w:tcPr>
            <w:tcW w:w="1559" w:type="dxa"/>
            <w:vAlign w:val="center"/>
          </w:tcPr>
          <w:p w14:paraId="1345BCAF">
            <w:pPr>
              <w:spacing w:line="360" w:lineRule="auto"/>
              <w:rPr>
                <w:rFonts w:asciiTheme="minorEastAsia" w:hAnsiTheme="minorEastAsia"/>
                <w:sz w:val="24"/>
                <w:szCs w:val="24"/>
              </w:rPr>
            </w:pPr>
            <w:r>
              <w:rPr>
                <w:rFonts w:hint="eastAsia" w:asciiTheme="minorEastAsia" w:hAnsiTheme="minorEastAsia"/>
                <w:color w:val="000000"/>
                <w:sz w:val="24"/>
                <w:szCs w:val="24"/>
              </w:rPr>
              <w:t>其他要求</w:t>
            </w:r>
          </w:p>
        </w:tc>
        <w:tc>
          <w:tcPr>
            <w:tcW w:w="2552" w:type="dxa"/>
            <w:vAlign w:val="center"/>
          </w:tcPr>
          <w:p w14:paraId="779B63B0">
            <w:pPr>
              <w:spacing w:line="360" w:lineRule="auto"/>
              <w:jc w:val="left"/>
              <w:rPr>
                <w:rFonts w:asciiTheme="minorEastAsia" w:hAnsiTheme="minorEastAsia"/>
                <w:sz w:val="24"/>
                <w:szCs w:val="24"/>
              </w:rPr>
            </w:pPr>
            <w:r>
              <w:rPr>
                <w:rFonts w:hint="eastAsia" w:asciiTheme="minorEastAsia" w:hAnsiTheme="minorEastAsia"/>
                <w:sz w:val="24"/>
                <w:szCs w:val="24"/>
              </w:rPr>
              <w:t>上述指标中未列出，但国家相关法律法规或询比文件有明确规定的</w:t>
            </w:r>
          </w:p>
        </w:tc>
        <w:tc>
          <w:tcPr>
            <w:tcW w:w="708" w:type="dxa"/>
            <w:vAlign w:val="center"/>
          </w:tcPr>
          <w:p w14:paraId="1E5A85C3">
            <w:pPr>
              <w:spacing w:line="360" w:lineRule="auto"/>
              <w:rPr>
                <w:rFonts w:asciiTheme="minorEastAsia" w:hAnsiTheme="minorEastAsia"/>
                <w:sz w:val="24"/>
                <w:szCs w:val="24"/>
              </w:rPr>
            </w:pPr>
          </w:p>
        </w:tc>
        <w:tc>
          <w:tcPr>
            <w:tcW w:w="2631" w:type="dxa"/>
            <w:vAlign w:val="center"/>
          </w:tcPr>
          <w:p w14:paraId="0F99869E">
            <w:pPr>
              <w:spacing w:line="360" w:lineRule="auto"/>
              <w:rPr>
                <w:rFonts w:asciiTheme="minorEastAsia" w:hAnsiTheme="minorEastAsia"/>
                <w:sz w:val="24"/>
                <w:szCs w:val="24"/>
              </w:rPr>
            </w:pPr>
          </w:p>
        </w:tc>
      </w:tr>
    </w:tbl>
    <w:p w14:paraId="4793C961">
      <w:pPr>
        <w:spacing w:line="360" w:lineRule="auto"/>
        <w:ind w:firstLine="480" w:firstLineChars="200"/>
        <w:rPr>
          <w:sz w:val="24"/>
          <w:szCs w:val="24"/>
        </w:rPr>
      </w:pPr>
      <w:r>
        <w:rPr>
          <w:rFonts w:hint="eastAsia"/>
          <w:sz w:val="24"/>
          <w:szCs w:val="24"/>
        </w:rPr>
        <w:t>评审指标通过标准：供应商必须通过上述全部指标。</w:t>
      </w:r>
    </w:p>
    <w:p w14:paraId="2A4F5F7B">
      <w:pPr>
        <w:spacing w:line="360" w:lineRule="auto"/>
        <w:ind w:firstLine="480" w:firstLineChars="200"/>
        <w:rPr>
          <w:sz w:val="24"/>
          <w:szCs w:val="24"/>
        </w:rPr>
      </w:pPr>
      <w:r>
        <w:rPr>
          <w:rFonts w:hint="eastAsia"/>
          <w:sz w:val="24"/>
          <w:szCs w:val="24"/>
        </w:rPr>
        <w:t>询比小组根据表中所列各项指标对供应商是否为有效标进行评审，未列入上表中的指标不得作为否决询比依据。符合评审指标通过标准的，为有效投标。未通过评审的供应商将不参与询比。</w:t>
      </w:r>
    </w:p>
    <w:p w14:paraId="65B47918"/>
    <w:p w14:paraId="4BDE5D3F">
      <w:pPr>
        <w:spacing w:line="360" w:lineRule="auto"/>
        <w:ind w:firstLine="482" w:firstLineChars="200"/>
        <w:rPr>
          <w:rFonts w:asciiTheme="minorEastAsia" w:hAnsiTheme="minorEastAsia"/>
          <w:b/>
          <w:sz w:val="24"/>
          <w:szCs w:val="24"/>
        </w:rPr>
      </w:pPr>
      <w:r>
        <w:rPr>
          <w:rFonts w:asciiTheme="minorEastAsia" w:hAnsiTheme="minorEastAsia"/>
          <w:b/>
          <w:sz w:val="24"/>
          <w:szCs w:val="24"/>
        </w:rPr>
        <w:t>2</w:t>
      </w:r>
      <w:r>
        <w:rPr>
          <w:rFonts w:hint="eastAsia" w:asciiTheme="minorEastAsia" w:hAnsiTheme="minorEastAsia"/>
          <w:b/>
          <w:sz w:val="24"/>
          <w:szCs w:val="24"/>
        </w:rPr>
        <w:t>、详细评审</w:t>
      </w:r>
    </w:p>
    <w:p w14:paraId="6D8F88E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（1）、询比小组将对所有通过初审的响应文件进行详细评审，具体如下：</w:t>
      </w:r>
    </w:p>
    <w:p w14:paraId="5067DA6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根据评分的细则，评委应对进入详细评审的所有响应文件进行评分，并分别填写打分表。</w:t>
      </w:r>
    </w:p>
    <w:p w14:paraId="7D396AB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询比小组按本章第</w:t>
      </w:r>
      <w:r>
        <w:rPr>
          <w:rFonts w:asciiTheme="minorEastAsia" w:hAnsiTheme="minorEastAsia"/>
          <w:sz w:val="24"/>
          <w:szCs w:val="24"/>
        </w:rPr>
        <w:t>2</w:t>
      </w:r>
      <w:r>
        <w:rPr>
          <w:rFonts w:hint="eastAsia" w:asciiTheme="minorEastAsia" w:hAnsiTheme="minorEastAsia"/>
          <w:sz w:val="24"/>
          <w:szCs w:val="24"/>
        </w:rPr>
        <w:t>款规定的商务技术部分详细评审指标对响应文件的商务技术部分进行打分，并计算出详细评审得分。本次询比小组评审成员总数为</w:t>
      </w:r>
      <w:r>
        <w:rPr>
          <w:rFonts w:asciiTheme="minorEastAsia" w:hAnsiTheme="minorEastAsia"/>
          <w:sz w:val="24"/>
          <w:szCs w:val="24"/>
        </w:rPr>
        <w:t>3</w:t>
      </w:r>
      <w:r>
        <w:rPr>
          <w:rFonts w:hint="eastAsia" w:asciiTheme="minorEastAsia" w:hAnsiTheme="minorEastAsia"/>
          <w:sz w:val="24"/>
          <w:szCs w:val="24"/>
        </w:rPr>
        <w:t>人，以询比小组各成员每一项的打分取平均值，得到该供应商该分值项的得分。</w:t>
      </w:r>
    </w:p>
    <w:p w14:paraId="4B6BD8B8">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将供应商每个分值项得分进行汇总，得到该供应商的商务技术部分得分。</w:t>
      </w:r>
    </w:p>
    <w:p w14:paraId="0A1F6CA2">
      <w:pPr>
        <w:spacing w:line="360" w:lineRule="auto"/>
        <w:rPr>
          <w:rFonts w:asciiTheme="minorEastAsia" w:hAnsiTheme="minorEastAsia"/>
          <w:sz w:val="24"/>
          <w:szCs w:val="24"/>
        </w:rPr>
      </w:pPr>
      <w:r>
        <w:rPr>
          <w:rFonts w:hint="eastAsia" w:asciiTheme="minorEastAsia" w:hAnsiTheme="minorEastAsia"/>
          <w:sz w:val="24"/>
          <w:szCs w:val="24"/>
        </w:rPr>
        <w:t>供应商的各项得分均保留小数点后两位（小数点后第三位四舍五入）。</w:t>
      </w:r>
    </w:p>
    <w:p w14:paraId="09A29DD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（2）、商务技术部分详细评审指标如下：</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280"/>
        <w:gridCol w:w="6113"/>
        <w:gridCol w:w="1249"/>
      </w:tblGrid>
      <w:tr w14:paraId="089B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14:paraId="05CBEAC6">
            <w:pPr>
              <w:widowControl/>
              <w:spacing w:line="360" w:lineRule="auto"/>
              <w:ind w:left="-109" w:leftChars="-52" w:right="-107" w:rightChars="-51"/>
              <w:jc w:val="center"/>
              <w:rPr>
                <w:rFonts w:cs="Times New Roman" w:asciiTheme="minorEastAsia" w:hAnsiTheme="minorEastAsia"/>
                <w:b/>
                <w:color w:val="000000"/>
                <w:sz w:val="24"/>
                <w:szCs w:val="24"/>
                <w:lang w:eastAsia="en-US"/>
              </w:rPr>
            </w:pPr>
            <w:r>
              <w:rPr>
                <w:rFonts w:cs="Times New Roman" w:asciiTheme="minorEastAsia" w:hAnsiTheme="minorEastAsia"/>
                <w:b/>
                <w:color w:val="000000"/>
                <w:sz w:val="24"/>
                <w:szCs w:val="24"/>
                <w:lang w:eastAsia="en-US"/>
              </w:rPr>
              <w:t>序号</w:t>
            </w:r>
          </w:p>
        </w:tc>
        <w:tc>
          <w:tcPr>
            <w:tcW w:w="1280" w:type="dxa"/>
            <w:tcBorders>
              <w:top w:val="single" w:color="auto" w:sz="4" w:space="0"/>
              <w:left w:val="single" w:color="auto" w:sz="4" w:space="0"/>
              <w:bottom w:val="single" w:color="auto" w:sz="4" w:space="0"/>
              <w:right w:val="single" w:color="auto" w:sz="4" w:space="0"/>
            </w:tcBorders>
            <w:vAlign w:val="center"/>
          </w:tcPr>
          <w:p w14:paraId="40CECC77">
            <w:pPr>
              <w:widowControl/>
              <w:spacing w:line="360" w:lineRule="auto"/>
              <w:jc w:val="center"/>
              <w:rPr>
                <w:rFonts w:cs="Times New Roman" w:asciiTheme="minorEastAsia" w:hAnsiTheme="minorEastAsia"/>
                <w:b/>
                <w:color w:val="000000"/>
                <w:sz w:val="24"/>
                <w:szCs w:val="24"/>
                <w:lang w:eastAsia="en-US"/>
              </w:rPr>
            </w:pPr>
            <w:r>
              <w:rPr>
                <w:rFonts w:hint="eastAsia" w:cs="Times New Roman" w:asciiTheme="minorEastAsia" w:hAnsiTheme="minorEastAsia"/>
                <w:b/>
                <w:color w:val="000000"/>
                <w:sz w:val="24"/>
                <w:szCs w:val="24"/>
                <w:lang w:eastAsia="en-US"/>
              </w:rPr>
              <w:t>指标</w:t>
            </w:r>
          </w:p>
        </w:tc>
        <w:tc>
          <w:tcPr>
            <w:tcW w:w="6113" w:type="dxa"/>
            <w:tcBorders>
              <w:top w:val="single" w:color="auto" w:sz="4" w:space="0"/>
              <w:left w:val="single" w:color="auto" w:sz="4" w:space="0"/>
              <w:bottom w:val="single" w:color="auto" w:sz="4" w:space="0"/>
              <w:right w:val="single" w:color="auto" w:sz="4" w:space="0"/>
            </w:tcBorders>
            <w:vAlign w:val="center"/>
          </w:tcPr>
          <w:p w14:paraId="2EFC03C6">
            <w:pPr>
              <w:widowControl/>
              <w:spacing w:line="360" w:lineRule="auto"/>
              <w:jc w:val="center"/>
              <w:rPr>
                <w:rFonts w:cs="Times New Roman" w:asciiTheme="minorEastAsia" w:hAnsiTheme="minorEastAsia"/>
                <w:b/>
                <w:color w:val="000000"/>
                <w:sz w:val="24"/>
                <w:szCs w:val="24"/>
                <w:lang w:eastAsia="en-US"/>
              </w:rPr>
            </w:pPr>
            <w:r>
              <w:rPr>
                <w:rFonts w:hint="eastAsia" w:cs="Times New Roman" w:asciiTheme="minorEastAsia" w:hAnsiTheme="minorEastAsia"/>
                <w:b/>
                <w:color w:val="000000"/>
                <w:sz w:val="24"/>
                <w:szCs w:val="24"/>
                <w:lang w:eastAsia="en-US"/>
              </w:rPr>
              <w:t>指标描述</w:t>
            </w:r>
          </w:p>
        </w:tc>
        <w:tc>
          <w:tcPr>
            <w:tcW w:w="1249" w:type="dxa"/>
            <w:tcBorders>
              <w:top w:val="single" w:color="auto" w:sz="4" w:space="0"/>
              <w:left w:val="single" w:color="auto" w:sz="4" w:space="0"/>
              <w:bottom w:val="single" w:color="auto" w:sz="4" w:space="0"/>
              <w:right w:val="single" w:color="auto" w:sz="4" w:space="0"/>
            </w:tcBorders>
            <w:vAlign w:val="center"/>
          </w:tcPr>
          <w:p w14:paraId="1299FA55">
            <w:pPr>
              <w:widowControl/>
              <w:spacing w:line="360" w:lineRule="auto"/>
              <w:jc w:val="center"/>
              <w:rPr>
                <w:rFonts w:cs="Times New Roman" w:asciiTheme="minorEastAsia" w:hAnsiTheme="minorEastAsia"/>
                <w:b/>
                <w:color w:val="000000"/>
                <w:sz w:val="24"/>
                <w:szCs w:val="24"/>
                <w:lang w:eastAsia="en-US"/>
              </w:rPr>
            </w:pPr>
            <w:r>
              <w:rPr>
                <w:rFonts w:hint="eastAsia" w:cs="Times New Roman" w:asciiTheme="minorEastAsia" w:hAnsiTheme="minorEastAsia"/>
                <w:b/>
                <w:color w:val="000000"/>
                <w:sz w:val="24"/>
                <w:szCs w:val="24"/>
                <w:lang w:eastAsia="en-US"/>
              </w:rPr>
              <w:t>分值范围</w:t>
            </w:r>
          </w:p>
        </w:tc>
      </w:tr>
      <w:tr w14:paraId="1E8C8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14:paraId="01B84033">
            <w:pPr>
              <w:widowControl/>
              <w:spacing w:line="360" w:lineRule="auto"/>
              <w:ind w:left="-109" w:leftChars="-52" w:right="-107" w:rightChars="-51"/>
              <w:jc w:val="center"/>
              <w:rPr>
                <w:rFonts w:cs="Times New Roman" w:asciiTheme="minorEastAsia" w:hAnsiTheme="minorEastAsia"/>
                <w:b/>
                <w:color w:val="000000"/>
                <w:sz w:val="24"/>
                <w:szCs w:val="24"/>
                <w:lang w:eastAsia="en-US"/>
              </w:rPr>
            </w:pPr>
            <w:r>
              <w:rPr>
                <w:rFonts w:hint="eastAsia" w:cs="Times New Roman" w:asciiTheme="minorEastAsia" w:hAnsiTheme="minorEastAsia"/>
                <w:color w:val="000000"/>
                <w:sz w:val="24"/>
                <w:szCs w:val="24"/>
                <w:lang w:eastAsia="en-US"/>
              </w:rPr>
              <w:t>1</w:t>
            </w:r>
          </w:p>
        </w:tc>
        <w:tc>
          <w:tcPr>
            <w:tcW w:w="1280" w:type="dxa"/>
            <w:tcBorders>
              <w:top w:val="single" w:color="auto" w:sz="4" w:space="0"/>
              <w:left w:val="single" w:color="auto" w:sz="4" w:space="0"/>
              <w:bottom w:val="single" w:color="auto" w:sz="4" w:space="0"/>
              <w:right w:val="single" w:color="auto" w:sz="4" w:space="0"/>
            </w:tcBorders>
            <w:vAlign w:val="center"/>
          </w:tcPr>
          <w:p w14:paraId="3BF05AF3">
            <w:pPr>
              <w:rPr>
                <w:b/>
                <w:sz w:val="24"/>
                <w:szCs w:val="24"/>
              </w:rPr>
            </w:pPr>
            <w:r>
              <w:rPr>
                <w:rFonts w:hint="eastAsia"/>
                <w:b/>
                <w:sz w:val="24"/>
                <w:szCs w:val="24"/>
              </w:rPr>
              <w:t>运维服务方案</w:t>
            </w:r>
          </w:p>
        </w:tc>
        <w:tc>
          <w:tcPr>
            <w:tcW w:w="6113" w:type="dxa"/>
            <w:tcBorders>
              <w:top w:val="single" w:color="auto" w:sz="4" w:space="0"/>
              <w:left w:val="single" w:color="auto" w:sz="4" w:space="0"/>
              <w:bottom w:val="single" w:color="auto" w:sz="4" w:space="0"/>
              <w:right w:val="single" w:color="auto" w:sz="4" w:space="0"/>
            </w:tcBorders>
            <w:vAlign w:val="center"/>
          </w:tcPr>
          <w:p w14:paraId="752EB67E">
            <w:pPr>
              <w:spacing w:line="300" w:lineRule="auto"/>
              <w:ind w:firstLine="480" w:firstLineChars="200"/>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根据供应商提供的运维服务方案，方案包括但不限于针对采购需求内容要求等，由询价小组进行综合评分：</w:t>
            </w:r>
          </w:p>
          <w:p w14:paraId="74984C6C">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1.方案完整、可行，针对性强，能满足项目开展要求的服务方案，得 5 分；</w:t>
            </w:r>
          </w:p>
          <w:p w14:paraId="01FF6212">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2.方案较具体、可行，针对性较强，能基本满足项目开展要求的，得 3 分；</w:t>
            </w:r>
          </w:p>
          <w:p w14:paraId="6A75C1F8">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3.方案有待提升，部分满足项目开展要求的，得 1 分；</w:t>
            </w:r>
          </w:p>
          <w:p w14:paraId="11354016">
            <w:pPr>
              <w:spacing w:line="300" w:lineRule="auto"/>
              <w:jc w:val="left"/>
              <w:rPr>
                <w:rFonts w:cs="Times New Roman" w:asciiTheme="minorEastAsia" w:hAnsiTheme="minorEastAsia"/>
                <w:b/>
                <w:color w:val="000000"/>
                <w:sz w:val="24"/>
                <w:szCs w:val="24"/>
              </w:rPr>
            </w:pPr>
            <w:r>
              <w:rPr>
                <w:rFonts w:hint="eastAsia" w:cs="Times New Roman" w:asciiTheme="minorEastAsia" w:hAnsiTheme="minorEastAsia"/>
                <w:color w:val="000000"/>
                <w:sz w:val="24"/>
                <w:szCs w:val="24"/>
              </w:rPr>
              <w:t>4.缺少服务方案或未提供，得 0 分。</w:t>
            </w:r>
          </w:p>
        </w:tc>
        <w:tc>
          <w:tcPr>
            <w:tcW w:w="1249" w:type="dxa"/>
            <w:tcBorders>
              <w:top w:val="single" w:color="auto" w:sz="4" w:space="0"/>
              <w:left w:val="single" w:color="auto" w:sz="4" w:space="0"/>
              <w:bottom w:val="single" w:color="auto" w:sz="4" w:space="0"/>
              <w:right w:val="single" w:color="auto" w:sz="4" w:space="0"/>
            </w:tcBorders>
            <w:vAlign w:val="center"/>
          </w:tcPr>
          <w:p w14:paraId="53772196">
            <w:pPr>
              <w:widowControl/>
              <w:spacing w:line="360" w:lineRule="auto"/>
              <w:ind w:left="-109" w:leftChars="-52" w:right="-107" w:rightChars="-51"/>
              <w:jc w:val="center"/>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0</w:t>
            </w:r>
            <w:r>
              <w:rPr>
                <w:rFonts w:cs="Times New Roman" w:asciiTheme="minorEastAsia" w:hAnsiTheme="minorEastAsia"/>
                <w:color w:val="000000"/>
                <w:sz w:val="24"/>
                <w:szCs w:val="24"/>
              </w:rPr>
              <w:t>-5</w:t>
            </w:r>
            <w:r>
              <w:rPr>
                <w:rFonts w:hint="eastAsia" w:cs="Times New Roman" w:asciiTheme="minorEastAsia" w:hAnsiTheme="minorEastAsia"/>
                <w:color w:val="000000"/>
                <w:sz w:val="24"/>
                <w:szCs w:val="24"/>
              </w:rPr>
              <w:t>分</w:t>
            </w:r>
          </w:p>
        </w:tc>
      </w:tr>
      <w:tr w14:paraId="2BAFE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14:paraId="47A5AECB">
            <w:pPr>
              <w:widowControl/>
              <w:spacing w:line="360" w:lineRule="auto"/>
              <w:ind w:left="-109" w:leftChars="-52" w:right="-107" w:rightChars="-51"/>
              <w:jc w:val="center"/>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2</w:t>
            </w:r>
          </w:p>
        </w:tc>
        <w:tc>
          <w:tcPr>
            <w:tcW w:w="1280" w:type="dxa"/>
            <w:tcBorders>
              <w:top w:val="single" w:color="auto" w:sz="4" w:space="0"/>
              <w:left w:val="single" w:color="auto" w:sz="4" w:space="0"/>
              <w:bottom w:val="single" w:color="auto" w:sz="4" w:space="0"/>
              <w:right w:val="single" w:color="auto" w:sz="4" w:space="0"/>
            </w:tcBorders>
            <w:vAlign w:val="center"/>
          </w:tcPr>
          <w:p w14:paraId="1C5A5475">
            <w:pPr>
              <w:rPr>
                <w:b/>
                <w:sz w:val="24"/>
                <w:szCs w:val="24"/>
              </w:rPr>
            </w:pPr>
            <w:r>
              <w:rPr>
                <w:rFonts w:hint="eastAsia"/>
                <w:b/>
                <w:sz w:val="24"/>
                <w:szCs w:val="24"/>
              </w:rPr>
              <w:t>应急预案</w:t>
            </w:r>
          </w:p>
        </w:tc>
        <w:tc>
          <w:tcPr>
            <w:tcW w:w="6113" w:type="dxa"/>
            <w:tcBorders>
              <w:top w:val="single" w:color="auto" w:sz="4" w:space="0"/>
              <w:left w:val="single" w:color="auto" w:sz="4" w:space="0"/>
              <w:bottom w:val="single" w:color="auto" w:sz="4" w:space="0"/>
              <w:right w:val="single" w:color="auto" w:sz="4" w:space="0"/>
            </w:tcBorders>
            <w:vAlign w:val="center"/>
          </w:tcPr>
          <w:p w14:paraId="11F5980E">
            <w:pPr>
              <w:spacing w:line="300" w:lineRule="auto"/>
              <w:ind w:firstLine="480" w:firstLineChars="200"/>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根据供应商提供的应急预案，由询价小组进行综合评分：</w:t>
            </w:r>
          </w:p>
          <w:p w14:paraId="3250EE0B">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1.应急预案完整、可行，针对性强，能满足项目开展要求的，得 5 分；</w:t>
            </w:r>
          </w:p>
          <w:p w14:paraId="2E55EBBF">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2.应急预案较具体、可行，针对性较强，能基本满足项目开展要求的得 3 分；</w:t>
            </w:r>
          </w:p>
          <w:p w14:paraId="69EAF7AB">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3.应急预案有待提升，部分满足项目开展要求得 1 分；</w:t>
            </w:r>
          </w:p>
          <w:p w14:paraId="20385566">
            <w:pPr>
              <w:spacing w:line="300" w:lineRule="auto"/>
              <w:jc w:val="left"/>
              <w:rPr>
                <w:rFonts w:cs="Times New Roman" w:asciiTheme="minorEastAsia" w:hAnsiTheme="minorEastAsia"/>
                <w:b/>
                <w:color w:val="000000"/>
                <w:sz w:val="24"/>
                <w:szCs w:val="24"/>
              </w:rPr>
            </w:pPr>
            <w:r>
              <w:rPr>
                <w:rFonts w:hint="eastAsia" w:cs="Times New Roman" w:asciiTheme="minorEastAsia" w:hAnsiTheme="minorEastAsia"/>
                <w:color w:val="000000"/>
                <w:sz w:val="24"/>
                <w:szCs w:val="24"/>
              </w:rPr>
              <w:t>4.缺少应急预案或未提供得 0 分。</w:t>
            </w:r>
          </w:p>
        </w:tc>
        <w:tc>
          <w:tcPr>
            <w:tcW w:w="1249" w:type="dxa"/>
            <w:tcBorders>
              <w:top w:val="single" w:color="auto" w:sz="4" w:space="0"/>
              <w:left w:val="single" w:color="auto" w:sz="4" w:space="0"/>
              <w:bottom w:val="single" w:color="auto" w:sz="4" w:space="0"/>
              <w:right w:val="single" w:color="auto" w:sz="4" w:space="0"/>
            </w:tcBorders>
            <w:vAlign w:val="center"/>
          </w:tcPr>
          <w:p w14:paraId="66EA065C">
            <w:pPr>
              <w:widowControl/>
              <w:spacing w:line="360" w:lineRule="auto"/>
              <w:ind w:left="-109" w:leftChars="-52" w:right="-107" w:rightChars="-51"/>
              <w:jc w:val="center"/>
              <w:rPr>
                <w:rFonts w:cs="Times New Roman" w:asciiTheme="minorEastAsia" w:hAnsiTheme="minorEastAsia"/>
                <w:b/>
                <w:color w:val="000000"/>
                <w:sz w:val="24"/>
                <w:szCs w:val="24"/>
              </w:rPr>
            </w:pPr>
            <w:r>
              <w:rPr>
                <w:rFonts w:hint="eastAsia" w:cs="Times New Roman" w:asciiTheme="minorEastAsia" w:hAnsiTheme="minorEastAsia"/>
                <w:color w:val="000000"/>
                <w:sz w:val="24"/>
                <w:szCs w:val="24"/>
              </w:rPr>
              <w:t>0</w:t>
            </w:r>
            <w:r>
              <w:rPr>
                <w:rFonts w:cs="Times New Roman" w:asciiTheme="minorEastAsia" w:hAnsiTheme="minorEastAsia"/>
                <w:color w:val="000000"/>
                <w:sz w:val="24"/>
                <w:szCs w:val="24"/>
              </w:rPr>
              <w:t>-5</w:t>
            </w:r>
            <w:r>
              <w:rPr>
                <w:rFonts w:hint="eastAsia" w:cs="Times New Roman" w:asciiTheme="minorEastAsia" w:hAnsiTheme="minorEastAsia"/>
                <w:color w:val="000000"/>
                <w:sz w:val="24"/>
                <w:szCs w:val="24"/>
              </w:rPr>
              <w:t>分</w:t>
            </w:r>
          </w:p>
        </w:tc>
      </w:tr>
      <w:tr w14:paraId="633A8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14:paraId="1BCC9E52">
            <w:pPr>
              <w:widowControl/>
              <w:spacing w:line="360" w:lineRule="auto"/>
              <w:ind w:left="-109" w:leftChars="-52" w:right="-107" w:rightChars="-51"/>
              <w:jc w:val="center"/>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3</w:t>
            </w:r>
          </w:p>
        </w:tc>
        <w:tc>
          <w:tcPr>
            <w:tcW w:w="1280" w:type="dxa"/>
            <w:tcBorders>
              <w:top w:val="single" w:color="auto" w:sz="4" w:space="0"/>
              <w:left w:val="single" w:color="auto" w:sz="4" w:space="0"/>
              <w:bottom w:val="single" w:color="auto" w:sz="4" w:space="0"/>
              <w:right w:val="single" w:color="auto" w:sz="4" w:space="0"/>
            </w:tcBorders>
            <w:vAlign w:val="center"/>
          </w:tcPr>
          <w:p w14:paraId="7D2B006F">
            <w:pPr>
              <w:pStyle w:val="6"/>
              <w:spacing w:before="78"/>
              <w:rPr>
                <w:b/>
                <w:sz w:val="32"/>
                <w:szCs w:val="32"/>
              </w:rPr>
            </w:pPr>
            <w:r>
              <w:rPr>
                <w:rFonts w:hint="eastAsia"/>
                <w:b/>
                <w:spacing w:val="-3"/>
              </w:rPr>
              <w:t>服务质量</w:t>
            </w:r>
            <w:r>
              <w:rPr>
                <w:b/>
                <w:spacing w:val="-3"/>
              </w:rPr>
              <w:t>保障方案</w:t>
            </w:r>
          </w:p>
        </w:tc>
        <w:tc>
          <w:tcPr>
            <w:tcW w:w="6113" w:type="dxa"/>
            <w:tcBorders>
              <w:top w:val="single" w:color="auto" w:sz="4" w:space="0"/>
              <w:left w:val="single" w:color="auto" w:sz="4" w:space="0"/>
              <w:bottom w:val="single" w:color="auto" w:sz="4" w:space="0"/>
              <w:right w:val="single" w:color="auto" w:sz="4" w:space="0"/>
            </w:tcBorders>
            <w:vAlign w:val="center"/>
          </w:tcPr>
          <w:p w14:paraId="35812FDD">
            <w:pPr>
              <w:spacing w:line="300" w:lineRule="auto"/>
              <w:ind w:firstLine="480" w:firstLineChars="200"/>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根据供应商提供的服务质量保障方案，方案包括但不限于质量保障措施等，由询价小组进行综合评分：</w:t>
            </w:r>
          </w:p>
          <w:p w14:paraId="78776C3A">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1.方案完整、可行，针对性强，能满足项目开展要求的得 5 分；</w:t>
            </w:r>
          </w:p>
          <w:p w14:paraId="3FB791AB">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2.方案较具体、可行，针对性较强，能基本满足项目开展要求的得 3 分；</w:t>
            </w:r>
          </w:p>
          <w:p w14:paraId="1AEAF501">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3.方案有待提升，部分满足项目开展要求的得 1 分；</w:t>
            </w:r>
          </w:p>
          <w:p w14:paraId="7796C923">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4.缺少方案或未提供得 0 分。</w:t>
            </w:r>
          </w:p>
        </w:tc>
        <w:tc>
          <w:tcPr>
            <w:tcW w:w="1249" w:type="dxa"/>
            <w:tcBorders>
              <w:top w:val="single" w:color="auto" w:sz="4" w:space="0"/>
              <w:left w:val="single" w:color="auto" w:sz="4" w:space="0"/>
              <w:bottom w:val="single" w:color="auto" w:sz="4" w:space="0"/>
              <w:right w:val="single" w:color="auto" w:sz="4" w:space="0"/>
            </w:tcBorders>
            <w:vAlign w:val="center"/>
          </w:tcPr>
          <w:p w14:paraId="24C30F70">
            <w:pPr>
              <w:widowControl/>
              <w:spacing w:line="360" w:lineRule="auto"/>
              <w:ind w:left="-109" w:leftChars="-52" w:right="-107" w:rightChars="-51"/>
              <w:jc w:val="center"/>
              <w:rPr>
                <w:rFonts w:cs="Times New Roman" w:asciiTheme="minorEastAsia" w:hAnsiTheme="minorEastAsia"/>
                <w:b/>
                <w:color w:val="000000"/>
                <w:sz w:val="24"/>
                <w:szCs w:val="24"/>
              </w:rPr>
            </w:pPr>
            <w:r>
              <w:rPr>
                <w:rFonts w:hint="eastAsia" w:cs="Times New Roman" w:asciiTheme="minorEastAsia" w:hAnsiTheme="minorEastAsia"/>
                <w:color w:val="000000"/>
                <w:sz w:val="24"/>
                <w:szCs w:val="24"/>
              </w:rPr>
              <w:t>0</w:t>
            </w:r>
            <w:r>
              <w:rPr>
                <w:rFonts w:cs="Times New Roman" w:asciiTheme="minorEastAsia" w:hAnsiTheme="minorEastAsia"/>
                <w:color w:val="000000"/>
                <w:sz w:val="24"/>
                <w:szCs w:val="24"/>
              </w:rPr>
              <w:t>-5</w:t>
            </w:r>
            <w:r>
              <w:rPr>
                <w:rFonts w:hint="eastAsia" w:cs="Times New Roman" w:asciiTheme="minorEastAsia" w:hAnsiTheme="minorEastAsia"/>
                <w:color w:val="000000"/>
                <w:sz w:val="24"/>
                <w:szCs w:val="24"/>
              </w:rPr>
              <w:t>分</w:t>
            </w:r>
          </w:p>
        </w:tc>
      </w:tr>
      <w:tr w14:paraId="10E7B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14:paraId="7195AC00">
            <w:pPr>
              <w:widowControl/>
              <w:spacing w:line="360" w:lineRule="auto"/>
              <w:ind w:left="-109" w:leftChars="-52" w:right="-107" w:rightChars="-51"/>
              <w:jc w:val="center"/>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4</w:t>
            </w:r>
          </w:p>
        </w:tc>
        <w:tc>
          <w:tcPr>
            <w:tcW w:w="1280" w:type="dxa"/>
            <w:tcBorders>
              <w:top w:val="single" w:color="auto" w:sz="4" w:space="0"/>
              <w:left w:val="single" w:color="auto" w:sz="4" w:space="0"/>
              <w:bottom w:val="single" w:color="auto" w:sz="4" w:space="0"/>
              <w:right w:val="single" w:color="auto" w:sz="4" w:space="0"/>
            </w:tcBorders>
            <w:vAlign w:val="center"/>
          </w:tcPr>
          <w:p w14:paraId="0D2CE781">
            <w:pPr>
              <w:rPr>
                <w:b/>
                <w:spacing w:val="-3"/>
              </w:rPr>
            </w:pPr>
            <w:r>
              <w:rPr>
                <w:rFonts w:hint="eastAsia"/>
                <w:b/>
                <w:sz w:val="24"/>
                <w:szCs w:val="24"/>
              </w:rPr>
              <w:t>备品备件管理方案</w:t>
            </w:r>
          </w:p>
        </w:tc>
        <w:tc>
          <w:tcPr>
            <w:tcW w:w="6113" w:type="dxa"/>
            <w:tcBorders>
              <w:top w:val="single" w:color="auto" w:sz="4" w:space="0"/>
              <w:left w:val="single" w:color="auto" w:sz="4" w:space="0"/>
              <w:bottom w:val="single" w:color="auto" w:sz="4" w:space="0"/>
              <w:right w:val="single" w:color="auto" w:sz="4" w:space="0"/>
            </w:tcBorders>
            <w:vAlign w:val="center"/>
          </w:tcPr>
          <w:p w14:paraId="2F1BF0A5">
            <w:pPr>
              <w:spacing w:line="300" w:lineRule="auto"/>
              <w:ind w:firstLine="480" w:firstLineChars="200"/>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供应商针对本项目采购需求，提供备品备件管理方案，包括但不限于备品备件管理流程、备品备件保障体系等，由询价小组进行综合评分：</w:t>
            </w:r>
          </w:p>
          <w:p w14:paraId="68C39A0F">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1.备品备件管理方案完整、可行，针对性强，能满足项目开展要求得 5 分；</w:t>
            </w:r>
          </w:p>
          <w:p w14:paraId="33C7E5F2">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2.备品备件管理方案较具体、可行，针对性较强，能基本满足项目开展要求得 3 分；</w:t>
            </w:r>
          </w:p>
          <w:p w14:paraId="13A50F2D">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3.备品备件管理方案有待提升，部分满足项目开展要求的得 1 分；</w:t>
            </w:r>
          </w:p>
          <w:p w14:paraId="2A5BC974">
            <w:pPr>
              <w:spacing w:line="300" w:lineRule="auto"/>
              <w:jc w:val="left"/>
              <w:rPr>
                <w:rFonts w:cs="Times New Roman" w:asciiTheme="minorEastAsia" w:hAnsiTheme="minorEastAsia"/>
                <w:b/>
                <w:color w:val="000000"/>
                <w:sz w:val="24"/>
                <w:szCs w:val="24"/>
              </w:rPr>
            </w:pPr>
            <w:r>
              <w:rPr>
                <w:rFonts w:hint="eastAsia" w:cs="Times New Roman" w:asciiTheme="minorEastAsia" w:hAnsiTheme="minorEastAsia"/>
                <w:color w:val="000000"/>
                <w:sz w:val="24"/>
                <w:szCs w:val="24"/>
              </w:rPr>
              <w:t>4.缺少备品备件管理方案或未提供得 0 分。</w:t>
            </w:r>
          </w:p>
        </w:tc>
        <w:tc>
          <w:tcPr>
            <w:tcW w:w="1249" w:type="dxa"/>
            <w:tcBorders>
              <w:top w:val="single" w:color="auto" w:sz="4" w:space="0"/>
              <w:left w:val="single" w:color="auto" w:sz="4" w:space="0"/>
              <w:bottom w:val="single" w:color="auto" w:sz="4" w:space="0"/>
              <w:right w:val="single" w:color="auto" w:sz="4" w:space="0"/>
            </w:tcBorders>
            <w:vAlign w:val="center"/>
          </w:tcPr>
          <w:p w14:paraId="25D5B460">
            <w:pPr>
              <w:widowControl/>
              <w:spacing w:line="360" w:lineRule="auto"/>
              <w:ind w:left="-109" w:leftChars="-52" w:right="-107" w:rightChars="-51"/>
              <w:jc w:val="center"/>
              <w:rPr>
                <w:rFonts w:cs="Times New Roman" w:asciiTheme="minorEastAsia" w:hAnsiTheme="minorEastAsia"/>
                <w:b/>
                <w:color w:val="000000"/>
                <w:sz w:val="24"/>
                <w:szCs w:val="24"/>
              </w:rPr>
            </w:pPr>
            <w:r>
              <w:rPr>
                <w:rFonts w:hint="eastAsia" w:cs="Times New Roman" w:asciiTheme="minorEastAsia" w:hAnsiTheme="minorEastAsia"/>
                <w:color w:val="000000"/>
                <w:sz w:val="24"/>
                <w:szCs w:val="24"/>
              </w:rPr>
              <w:t>0</w:t>
            </w:r>
            <w:r>
              <w:rPr>
                <w:rFonts w:cs="Times New Roman" w:asciiTheme="minorEastAsia" w:hAnsiTheme="minorEastAsia"/>
                <w:color w:val="000000"/>
                <w:sz w:val="24"/>
                <w:szCs w:val="24"/>
              </w:rPr>
              <w:t>-5</w:t>
            </w:r>
            <w:r>
              <w:rPr>
                <w:rFonts w:hint="eastAsia" w:cs="Times New Roman" w:asciiTheme="minorEastAsia" w:hAnsiTheme="minorEastAsia"/>
                <w:color w:val="000000"/>
                <w:sz w:val="24"/>
                <w:szCs w:val="24"/>
              </w:rPr>
              <w:t>分</w:t>
            </w:r>
          </w:p>
        </w:tc>
      </w:tr>
      <w:tr w14:paraId="7A5D9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14:paraId="2C39E910">
            <w:pPr>
              <w:widowControl/>
              <w:spacing w:line="360" w:lineRule="auto"/>
              <w:ind w:left="-109" w:leftChars="-52" w:right="-107" w:rightChars="-51"/>
              <w:jc w:val="center"/>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5</w:t>
            </w:r>
          </w:p>
        </w:tc>
        <w:tc>
          <w:tcPr>
            <w:tcW w:w="1280" w:type="dxa"/>
            <w:tcBorders>
              <w:top w:val="single" w:color="auto" w:sz="4" w:space="0"/>
              <w:left w:val="single" w:color="auto" w:sz="4" w:space="0"/>
              <w:bottom w:val="single" w:color="auto" w:sz="4" w:space="0"/>
              <w:right w:val="single" w:color="auto" w:sz="4" w:space="0"/>
            </w:tcBorders>
            <w:vAlign w:val="center"/>
          </w:tcPr>
          <w:p w14:paraId="51594D55">
            <w:pPr>
              <w:rPr>
                <w:b/>
                <w:spacing w:val="-3"/>
              </w:rPr>
            </w:pPr>
            <w:r>
              <w:rPr>
                <w:rFonts w:hint="eastAsia"/>
                <w:b/>
                <w:sz w:val="24"/>
                <w:szCs w:val="24"/>
              </w:rPr>
              <w:t>项目保密制度</w:t>
            </w:r>
          </w:p>
        </w:tc>
        <w:tc>
          <w:tcPr>
            <w:tcW w:w="6113" w:type="dxa"/>
            <w:tcBorders>
              <w:top w:val="single" w:color="auto" w:sz="4" w:space="0"/>
              <w:left w:val="single" w:color="auto" w:sz="4" w:space="0"/>
              <w:bottom w:val="single" w:color="auto" w:sz="4" w:space="0"/>
              <w:right w:val="single" w:color="auto" w:sz="4" w:space="0"/>
            </w:tcBorders>
            <w:vAlign w:val="center"/>
          </w:tcPr>
          <w:p w14:paraId="6E783F7A">
            <w:pPr>
              <w:spacing w:line="300" w:lineRule="auto"/>
              <w:ind w:firstLine="480" w:firstLineChars="200"/>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根据供应商提供的项目保密制度，由询价小组进行综合评分：</w:t>
            </w:r>
          </w:p>
          <w:p w14:paraId="6CCB99FB">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1.项目保密管理制度健全、详细完整，针对性强，能够提供符合现状要求的项目保密制度得 5 分；</w:t>
            </w:r>
          </w:p>
          <w:p w14:paraId="6A3A9F78">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2.项目保密管理制度较为健全、较详细完整，有针对性，符合现状要求得 3 分；</w:t>
            </w:r>
          </w:p>
          <w:p w14:paraId="02E49438">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3.项目保密管理制度满足基本要求，缺少项目针对性得 1 分；</w:t>
            </w:r>
          </w:p>
          <w:p w14:paraId="72B0F711">
            <w:pPr>
              <w:spacing w:line="300" w:lineRule="auto"/>
              <w:jc w:val="left"/>
              <w:rPr>
                <w:rFonts w:cs="Times New Roman" w:asciiTheme="minorEastAsia" w:hAnsiTheme="minorEastAsia"/>
                <w:b/>
                <w:color w:val="000000"/>
                <w:sz w:val="24"/>
                <w:szCs w:val="24"/>
              </w:rPr>
            </w:pPr>
            <w:r>
              <w:rPr>
                <w:rFonts w:hint="eastAsia" w:cs="Times New Roman" w:asciiTheme="minorEastAsia" w:hAnsiTheme="minorEastAsia"/>
                <w:color w:val="000000"/>
                <w:sz w:val="24"/>
                <w:szCs w:val="24"/>
              </w:rPr>
              <w:t>4.缺少项目保密管理制度或未提供得 0 分。</w:t>
            </w:r>
          </w:p>
        </w:tc>
        <w:tc>
          <w:tcPr>
            <w:tcW w:w="1249" w:type="dxa"/>
            <w:tcBorders>
              <w:top w:val="single" w:color="auto" w:sz="4" w:space="0"/>
              <w:left w:val="single" w:color="auto" w:sz="4" w:space="0"/>
              <w:bottom w:val="single" w:color="auto" w:sz="4" w:space="0"/>
              <w:right w:val="single" w:color="auto" w:sz="4" w:space="0"/>
            </w:tcBorders>
            <w:vAlign w:val="center"/>
          </w:tcPr>
          <w:p w14:paraId="73D8D479">
            <w:pPr>
              <w:widowControl/>
              <w:spacing w:line="360" w:lineRule="auto"/>
              <w:ind w:left="-109" w:leftChars="-52" w:right="-107" w:rightChars="-51"/>
              <w:jc w:val="center"/>
              <w:rPr>
                <w:rFonts w:cs="Times New Roman" w:asciiTheme="minorEastAsia" w:hAnsiTheme="minorEastAsia"/>
                <w:b/>
                <w:color w:val="000000"/>
                <w:sz w:val="24"/>
                <w:szCs w:val="24"/>
              </w:rPr>
            </w:pPr>
            <w:r>
              <w:rPr>
                <w:rFonts w:hint="eastAsia" w:cs="Times New Roman" w:asciiTheme="minorEastAsia" w:hAnsiTheme="minorEastAsia"/>
                <w:color w:val="000000"/>
                <w:sz w:val="24"/>
                <w:szCs w:val="24"/>
              </w:rPr>
              <w:t>0</w:t>
            </w:r>
            <w:r>
              <w:rPr>
                <w:rFonts w:cs="Times New Roman" w:asciiTheme="minorEastAsia" w:hAnsiTheme="minorEastAsia"/>
                <w:color w:val="000000"/>
                <w:sz w:val="24"/>
                <w:szCs w:val="24"/>
              </w:rPr>
              <w:t>-5</w:t>
            </w:r>
            <w:r>
              <w:rPr>
                <w:rFonts w:hint="eastAsia" w:cs="Times New Roman" w:asciiTheme="minorEastAsia" w:hAnsiTheme="minorEastAsia"/>
                <w:color w:val="000000"/>
                <w:sz w:val="24"/>
                <w:szCs w:val="24"/>
              </w:rPr>
              <w:t>分</w:t>
            </w:r>
          </w:p>
        </w:tc>
      </w:tr>
      <w:tr w14:paraId="0C7B0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14:paraId="0136098F">
            <w:pPr>
              <w:widowControl/>
              <w:spacing w:line="360" w:lineRule="auto"/>
              <w:ind w:left="-109" w:leftChars="-52" w:right="-107" w:rightChars="-51"/>
              <w:jc w:val="center"/>
              <w:rPr>
                <w:rFonts w:cs="Times New Roman" w:asciiTheme="minorEastAsia" w:hAnsiTheme="minorEastAsia"/>
                <w:color w:val="000000"/>
                <w:sz w:val="24"/>
                <w:szCs w:val="24"/>
                <w:lang w:eastAsia="en-US"/>
              </w:rPr>
            </w:pPr>
            <w:r>
              <w:rPr>
                <w:rFonts w:cs="Times New Roman" w:asciiTheme="minorEastAsia" w:hAnsiTheme="minorEastAsia"/>
                <w:color w:val="000000"/>
                <w:sz w:val="24"/>
                <w:szCs w:val="24"/>
                <w:lang w:eastAsia="en-US"/>
              </w:rPr>
              <w:t>6</w:t>
            </w:r>
          </w:p>
        </w:tc>
        <w:tc>
          <w:tcPr>
            <w:tcW w:w="1280" w:type="dxa"/>
            <w:tcBorders>
              <w:top w:val="single" w:color="auto" w:sz="4" w:space="0"/>
              <w:left w:val="single" w:color="auto" w:sz="4" w:space="0"/>
              <w:bottom w:val="single" w:color="auto" w:sz="4" w:space="0"/>
              <w:right w:val="single" w:color="auto" w:sz="4" w:space="0"/>
            </w:tcBorders>
            <w:vAlign w:val="center"/>
          </w:tcPr>
          <w:p w14:paraId="7840C356">
            <w:pPr>
              <w:widowControl/>
              <w:spacing w:line="360" w:lineRule="auto"/>
              <w:ind w:left="-109" w:leftChars="-52" w:right="-107" w:rightChars="-51"/>
              <w:jc w:val="center"/>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供应商体系认证</w:t>
            </w:r>
          </w:p>
        </w:tc>
        <w:tc>
          <w:tcPr>
            <w:tcW w:w="6113" w:type="dxa"/>
            <w:tcBorders>
              <w:top w:val="single" w:color="auto" w:sz="4" w:space="0"/>
              <w:left w:val="single" w:color="auto" w:sz="4" w:space="0"/>
              <w:bottom w:val="single" w:color="auto" w:sz="4" w:space="0"/>
              <w:right w:val="single" w:color="auto" w:sz="4" w:space="0"/>
            </w:tcBorders>
            <w:vAlign w:val="center"/>
          </w:tcPr>
          <w:p w14:paraId="3741DE63">
            <w:pPr>
              <w:spacing w:line="300" w:lineRule="auto"/>
              <w:ind w:firstLine="480" w:firstLineChars="200"/>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供应商具有经国家认证认可监督管理委员会认证机构颁发有效的下列证书：</w:t>
            </w:r>
          </w:p>
          <w:p w14:paraId="3D944D10">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（1）质量管理体系认证证书；</w:t>
            </w:r>
          </w:p>
          <w:p w14:paraId="43F3CF31">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（2）环境管理体系认证证书；</w:t>
            </w:r>
          </w:p>
          <w:p w14:paraId="240BE7CD">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（3）职业健康安全管理体系认证证书；</w:t>
            </w:r>
          </w:p>
          <w:p w14:paraId="4DB19656">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（4）信息技术服务管理体系认证证书；</w:t>
            </w:r>
          </w:p>
          <w:p w14:paraId="68CE38CB">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（5）信息安全管理体系认证证书；</w:t>
            </w:r>
          </w:p>
          <w:p w14:paraId="2F3E99FC">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w:t>
            </w:r>
            <w:r>
              <w:rPr>
                <w:rFonts w:cs="Times New Roman" w:asciiTheme="minorEastAsia" w:hAnsiTheme="minorEastAsia"/>
                <w:color w:val="000000"/>
                <w:sz w:val="24"/>
                <w:szCs w:val="24"/>
              </w:rPr>
              <w:t>6）</w:t>
            </w:r>
            <w:r>
              <w:rPr>
                <w:rFonts w:hint="eastAsia" w:cs="Times New Roman" w:asciiTheme="minorEastAsia" w:hAnsiTheme="minorEastAsia"/>
                <w:color w:val="000000"/>
                <w:sz w:val="24"/>
                <w:szCs w:val="24"/>
              </w:rPr>
              <w:t>供应链安全管理体系认证证书</w:t>
            </w:r>
          </w:p>
          <w:p w14:paraId="45804256">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（7）业务连续性管理体系认证证书</w:t>
            </w:r>
          </w:p>
          <w:p w14:paraId="1A9F0B04">
            <w:pPr>
              <w:spacing w:line="30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（8）售后服务认证证书</w:t>
            </w:r>
          </w:p>
          <w:p w14:paraId="06D7EEB9">
            <w:pPr>
              <w:spacing w:line="300" w:lineRule="auto"/>
              <w:ind w:firstLine="482" w:firstLineChars="200"/>
              <w:jc w:val="left"/>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注：须同时提供认证证书的扫描件或影印件以及全国认证认可信息公共服务平台官网证书信息查询截图，未提供或提供不全者不得分。每提供1个认证得2.5分，满分</w:t>
            </w:r>
            <w:r>
              <w:rPr>
                <w:rFonts w:cs="Times New Roman" w:asciiTheme="minorEastAsia" w:hAnsiTheme="minorEastAsia"/>
                <w:b/>
                <w:color w:val="000000"/>
                <w:sz w:val="24"/>
                <w:szCs w:val="24"/>
              </w:rPr>
              <w:t>20</w:t>
            </w:r>
            <w:r>
              <w:rPr>
                <w:rFonts w:hint="eastAsia" w:cs="Times New Roman" w:asciiTheme="minorEastAsia" w:hAnsiTheme="minorEastAsia"/>
                <w:b/>
                <w:color w:val="000000"/>
                <w:sz w:val="24"/>
                <w:szCs w:val="24"/>
              </w:rPr>
              <w:t>分。</w:t>
            </w:r>
          </w:p>
        </w:tc>
        <w:tc>
          <w:tcPr>
            <w:tcW w:w="1249" w:type="dxa"/>
            <w:tcBorders>
              <w:top w:val="single" w:color="auto" w:sz="4" w:space="0"/>
              <w:left w:val="single" w:color="auto" w:sz="4" w:space="0"/>
              <w:bottom w:val="single" w:color="auto" w:sz="4" w:space="0"/>
              <w:right w:val="single" w:color="auto" w:sz="4" w:space="0"/>
            </w:tcBorders>
            <w:vAlign w:val="center"/>
          </w:tcPr>
          <w:p w14:paraId="6E5DADB5">
            <w:pPr>
              <w:widowControl/>
              <w:spacing w:line="360" w:lineRule="auto"/>
              <w:ind w:left="-109" w:leftChars="-52" w:right="-107" w:rightChars="-51"/>
              <w:jc w:val="center"/>
              <w:rPr>
                <w:rFonts w:cs="Times New Roman" w:asciiTheme="minorEastAsia" w:hAnsiTheme="minorEastAsia"/>
                <w:color w:val="000000"/>
                <w:sz w:val="24"/>
                <w:szCs w:val="24"/>
                <w:lang w:eastAsia="en-US"/>
              </w:rPr>
            </w:pPr>
            <w:r>
              <w:rPr>
                <w:rFonts w:hint="eastAsia" w:cs="Times New Roman" w:asciiTheme="minorEastAsia" w:hAnsiTheme="minorEastAsia"/>
                <w:color w:val="000000"/>
                <w:sz w:val="24"/>
                <w:szCs w:val="24"/>
                <w:lang w:eastAsia="en-US"/>
              </w:rPr>
              <w:t>0-</w:t>
            </w:r>
            <w:r>
              <w:rPr>
                <w:rFonts w:cs="Times New Roman" w:asciiTheme="minorEastAsia" w:hAnsiTheme="minorEastAsia"/>
                <w:color w:val="000000"/>
                <w:sz w:val="24"/>
                <w:szCs w:val="24"/>
                <w:lang w:eastAsia="en-US"/>
              </w:rPr>
              <w:t>20</w:t>
            </w:r>
            <w:r>
              <w:rPr>
                <w:rFonts w:hint="eastAsia" w:cs="Times New Roman" w:asciiTheme="minorEastAsia" w:hAnsiTheme="minorEastAsia"/>
                <w:color w:val="000000"/>
                <w:sz w:val="24"/>
                <w:szCs w:val="24"/>
                <w:lang w:eastAsia="en-US"/>
              </w:rPr>
              <w:t>分</w:t>
            </w:r>
          </w:p>
        </w:tc>
      </w:tr>
      <w:tr w14:paraId="7F69D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14:paraId="35BE2691">
            <w:pPr>
              <w:widowControl/>
              <w:spacing w:line="360" w:lineRule="auto"/>
              <w:ind w:left="-109" w:leftChars="-52" w:right="-107" w:rightChars="-51"/>
              <w:jc w:val="center"/>
              <w:rPr>
                <w:rFonts w:cs="Times New Roman" w:asciiTheme="minorEastAsia" w:hAnsiTheme="minorEastAsia"/>
                <w:color w:val="000000"/>
                <w:sz w:val="24"/>
                <w:szCs w:val="24"/>
                <w:lang w:eastAsia="en-US"/>
              </w:rPr>
            </w:pPr>
            <w:r>
              <w:rPr>
                <w:rFonts w:cs="Times New Roman" w:asciiTheme="minorEastAsia" w:hAnsiTheme="minorEastAsia"/>
                <w:color w:val="000000"/>
                <w:sz w:val="24"/>
                <w:szCs w:val="24"/>
                <w:lang w:eastAsia="en-US"/>
              </w:rPr>
              <w:t>3</w:t>
            </w:r>
          </w:p>
        </w:tc>
        <w:tc>
          <w:tcPr>
            <w:tcW w:w="1280" w:type="dxa"/>
            <w:tcBorders>
              <w:top w:val="single" w:color="auto" w:sz="4" w:space="0"/>
              <w:left w:val="single" w:color="auto" w:sz="4" w:space="0"/>
              <w:bottom w:val="single" w:color="auto" w:sz="4" w:space="0"/>
              <w:right w:val="single" w:color="auto" w:sz="4" w:space="0"/>
            </w:tcBorders>
            <w:vAlign w:val="center"/>
          </w:tcPr>
          <w:p w14:paraId="29283469">
            <w:pPr>
              <w:widowControl/>
              <w:spacing w:line="360" w:lineRule="auto"/>
              <w:ind w:left="-109" w:leftChars="-52" w:right="-107" w:rightChars="-51"/>
              <w:jc w:val="center"/>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技术服务人员能力</w:t>
            </w:r>
          </w:p>
        </w:tc>
        <w:tc>
          <w:tcPr>
            <w:tcW w:w="6113" w:type="dxa"/>
            <w:tcBorders>
              <w:top w:val="single" w:color="auto" w:sz="4" w:space="0"/>
              <w:left w:val="single" w:color="auto" w:sz="4" w:space="0"/>
              <w:bottom w:val="single" w:color="auto" w:sz="4" w:space="0"/>
              <w:right w:val="single" w:color="auto" w:sz="4" w:space="0"/>
            </w:tcBorders>
            <w:vAlign w:val="center"/>
          </w:tcPr>
          <w:p w14:paraId="200E08ED">
            <w:pPr>
              <w:spacing w:line="360" w:lineRule="auto"/>
              <w:jc w:val="left"/>
              <w:rPr>
                <w:rFonts w:cs="Times New Roman" w:asciiTheme="minorEastAsia" w:hAnsiTheme="minorEastAsia"/>
                <w:b/>
                <w:bCs/>
                <w:color w:val="000000"/>
                <w:sz w:val="24"/>
                <w:szCs w:val="24"/>
              </w:rPr>
            </w:pPr>
            <w:r>
              <w:rPr>
                <w:rFonts w:hint="eastAsia" w:cs="Times New Roman" w:asciiTheme="minorEastAsia" w:hAnsiTheme="minorEastAsia"/>
                <w:b/>
                <w:color w:val="000000"/>
                <w:sz w:val="24"/>
                <w:szCs w:val="24"/>
              </w:rPr>
              <w:t>1</w:t>
            </w:r>
            <w:r>
              <w:rPr>
                <w:rFonts w:cs="Times New Roman" w:asciiTheme="minorEastAsia" w:hAnsiTheme="minorEastAsia"/>
                <w:b/>
                <w:color w:val="000000"/>
                <w:sz w:val="24"/>
                <w:szCs w:val="24"/>
              </w:rPr>
              <w:t>.</w:t>
            </w:r>
            <w:r>
              <w:rPr>
                <w:rFonts w:hint="eastAsia" w:cs="Times New Roman" w:asciiTheme="minorEastAsia" w:hAnsiTheme="minorEastAsia"/>
                <w:b/>
                <w:color w:val="000000"/>
                <w:sz w:val="24"/>
                <w:szCs w:val="24"/>
              </w:rPr>
              <w:t>供应商针对本项目配备项目经理，具有以下证书：</w:t>
            </w:r>
          </w:p>
          <w:p w14:paraId="3FE41324">
            <w:pPr>
              <w:spacing w:line="36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（1）中国信息安全测评中心认证颁发的注册信息安全专业人员（安全管理人员CISO）CISP证书，得3分；</w:t>
            </w:r>
          </w:p>
          <w:p w14:paraId="01E2FF53">
            <w:pPr>
              <w:spacing w:line="360" w:lineRule="auto"/>
              <w:jc w:val="left"/>
              <w:rPr>
                <w:rFonts w:cs="Times New Roman" w:asciiTheme="minorEastAsia" w:hAnsiTheme="minorEastAsia"/>
                <w:bCs/>
                <w:color w:val="000000"/>
                <w:sz w:val="24"/>
                <w:szCs w:val="24"/>
              </w:rPr>
            </w:pPr>
            <w:r>
              <w:rPr>
                <w:rFonts w:hint="eastAsia" w:cs="Times New Roman" w:asciiTheme="minorEastAsia" w:hAnsiTheme="minorEastAsia"/>
                <w:color w:val="000000"/>
                <w:sz w:val="24"/>
                <w:szCs w:val="24"/>
              </w:rPr>
              <w:t>（2）</w:t>
            </w:r>
            <w:r>
              <w:rPr>
                <w:rFonts w:hint="eastAsia" w:cs="Times New Roman" w:asciiTheme="minorEastAsia" w:hAnsiTheme="minorEastAsia"/>
                <w:bCs/>
                <w:color w:val="000000"/>
                <w:sz w:val="24"/>
                <w:szCs w:val="24"/>
              </w:rPr>
              <w:t>具有国家部委职能机构颁发的智能化系统集成项目经理（高级）认证证书，得3分；</w:t>
            </w:r>
          </w:p>
          <w:p w14:paraId="3F81BB01">
            <w:pPr>
              <w:spacing w:line="360" w:lineRule="auto"/>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（3）</w:t>
            </w:r>
            <w:r>
              <w:rPr>
                <w:rFonts w:hint="eastAsia" w:cs="Times New Roman" w:asciiTheme="minorEastAsia" w:hAnsiTheme="minorEastAsia"/>
                <w:bCs/>
                <w:color w:val="000000"/>
                <w:sz w:val="24"/>
                <w:szCs w:val="24"/>
              </w:rPr>
              <w:t>具有电子与智能化相关专业中级及以上工程师职称证书，得4分。</w:t>
            </w:r>
          </w:p>
          <w:p w14:paraId="05CFC01D">
            <w:pPr>
              <w:spacing w:line="360" w:lineRule="auto"/>
              <w:jc w:val="left"/>
              <w:rPr>
                <w:rFonts w:cs="Times New Roman" w:asciiTheme="minorEastAsia" w:hAnsiTheme="minorEastAsia"/>
                <w:b/>
                <w:bCs/>
                <w:color w:val="000000"/>
                <w:sz w:val="24"/>
                <w:szCs w:val="24"/>
              </w:rPr>
            </w:pPr>
            <w:r>
              <w:rPr>
                <w:rFonts w:hint="eastAsia" w:cs="Times New Roman" w:asciiTheme="minorEastAsia" w:hAnsiTheme="minorEastAsia"/>
                <w:b/>
                <w:color w:val="000000"/>
                <w:sz w:val="24"/>
                <w:szCs w:val="24"/>
              </w:rPr>
              <w:t>2</w:t>
            </w:r>
            <w:r>
              <w:rPr>
                <w:rFonts w:cs="Times New Roman" w:asciiTheme="minorEastAsia" w:hAnsiTheme="minorEastAsia"/>
                <w:b/>
                <w:color w:val="000000"/>
                <w:sz w:val="24"/>
                <w:szCs w:val="24"/>
              </w:rPr>
              <w:t>.</w:t>
            </w:r>
            <w:r>
              <w:rPr>
                <w:rFonts w:hint="eastAsia" w:cs="Times New Roman" w:asciiTheme="minorEastAsia" w:hAnsiTheme="minorEastAsia"/>
                <w:b/>
                <w:color w:val="000000"/>
                <w:sz w:val="24"/>
                <w:szCs w:val="24"/>
              </w:rPr>
              <w:t>供应商针对本项目配备技术服务团队且服务团队人员需具有以下证书：</w:t>
            </w:r>
          </w:p>
          <w:p w14:paraId="44AEC19E">
            <w:pPr>
              <w:spacing w:line="360" w:lineRule="auto"/>
              <w:jc w:val="left"/>
              <w:rPr>
                <w:rFonts w:cs="Times New Roman" w:asciiTheme="minorEastAsia" w:hAnsiTheme="minorEastAsia"/>
                <w:bCs/>
                <w:color w:val="000000"/>
                <w:sz w:val="24"/>
                <w:szCs w:val="24"/>
              </w:rPr>
            </w:pPr>
            <w:r>
              <w:rPr>
                <w:rFonts w:hint="eastAsia" w:cs="Times New Roman" w:asciiTheme="minorEastAsia" w:hAnsiTheme="minorEastAsia"/>
                <w:bCs/>
                <w:color w:val="000000"/>
                <w:sz w:val="24"/>
                <w:szCs w:val="24"/>
              </w:rPr>
              <w:t>（1）、技术服务人员具有全国计算机技术与软件专业技术资格（认证）网络工程师证书的，每人得</w:t>
            </w:r>
            <w:r>
              <w:rPr>
                <w:rFonts w:cs="Times New Roman" w:asciiTheme="minorEastAsia" w:hAnsiTheme="minorEastAsia"/>
                <w:bCs/>
                <w:color w:val="000000"/>
                <w:sz w:val="24"/>
                <w:szCs w:val="24"/>
              </w:rPr>
              <w:t>4</w:t>
            </w:r>
            <w:r>
              <w:rPr>
                <w:rFonts w:hint="eastAsia" w:cs="Times New Roman" w:asciiTheme="minorEastAsia" w:hAnsiTheme="minorEastAsia"/>
                <w:bCs/>
                <w:color w:val="000000"/>
                <w:sz w:val="24"/>
                <w:szCs w:val="24"/>
              </w:rPr>
              <w:t>分，本小项满分</w:t>
            </w:r>
            <w:r>
              <w:rPr>
                <w:rFonts w:cs="Times New Roman" w:asciiTheme="minorEastAsia" w:hAnsiTheme="minorEastAsia"/>
                <w:bCs/>
                <w:color w:val="000000"/>
                <w:sz w:val="24"/>
                <w:szCs w:val="24"/>
              </w:rPr>
              <w:t>4</w:t>
            </w:r>
            <w:r>
              <w:rPr>
                <w:rFonts w:hint="eastAsia" w:cs="Times New Roman" w:asciiTheme="minorEastAsia" w:hAnsiTheme="minorEastAsia"/>
                <w:bCs/>
                <w:color w:val="000000"/>
                <w:sz w:val="24"/>
                <w:szCs w:val="24"/>
              </w:rPr>
              <w:t>分。</w:t>
            </w:r>
          </w:p>
          <w:p w14:paraId="71EA0A08">
            <w:pPr>
              <w:spacing w:line="360" w:lineRule="auto"/>
              <w:jc w:val="left"/>
              <w:rPr>
                <w:rFonts w:cs="Times New Roman" w:asciiTheme="minorEastAsia" w:hAnsiTheme="minorEastAsia"/>
                <w:bCs/>
                <w:color w:val="000000"/>
                <w:sz w:val="24"/>
                <w:szCs w:val="24"/>
              </w:rPr>
            </w:pPr>
            <w:r>
              <w:rPr>
                <w:rFonts w:hint="eastAsia" w:cs="Times New Roman" w:asciiTheme="minorEastAsia" w:hAnsiTheme="minorEastAsia"/>
                <w:bCs/>
                <w:color w:val="000000"/>
                <w:sz w:val="24"/>
                <w:szCs w:val="24"/>
              </w:rPr>
              <w:t>（</w:t>
            </w:r>
            <w:r>
              <w:rPr>
                <w:rFonts w:cs="Times New Roman" w:asciiTheme="minorEastAsia" w:hAnsiTheme="minorEastAsia"/>
                <w:bCs/>
                <w:color w:val="000000"/>
                <w:sz w:val="24"/>
                <w:szCs w:val="24"/>
              </w:rPr>
              <w:t>2</w:t>
            </w:r>
            <w:r>
              <w:rPr>
                <w:rFonts w:hint="eastAsia" w:cs="Times New Roman" w:asciiTheme="minorEastAsia" w:hAnsiTheme="minorEastAsia"/>
                <w:bCs/>
                <w:color w:val="000000"/>
                <w:sz w:val="24"/>
                <w:szCs w:val="24"/>
              </w:rPr>
              <w:t>）、技术服务人员具有全国计算机技术与软件专业技术资格（认证）系统集成项目管理工程师证书的，每人得</w:t>
            </w:r>
            <w:r>
              <w:rPr>
                <w:rFonts w:cs="Times New Roman" w:asciiTheme="minorEastAsia" w:hAnsiTheme="minorEastAsia"/>
                <w:bCs/>
                <w:color w:val="000000"/>
                <w:sz w:val="24"/>
                <w:szCs w:val="24"/>
              </w:rPr>
              <w:t>4</w:t>
            </w:r>
            <w:r>
              <w:rPr>
                <w:rFonts w:hint="eastAsia" w:cs="Times New Roman" w:asciiTheme="minorEastAsia" w:hAnsiTheme="minorEastAsia"/>
                <w:bCs/>
                <w:color w:val="000000"/>
                <w:sz w:val="24"/>
                <w:szCs w:val="24"/>
              </w:rPr>
              <w:t>分，本小项满分</w:t>
            </w:r>
            <w:r>
              <w:rPr>
                <w:rFonts w:cs="Times New Roman" w:asciiTheme="minorEastAsia" w:hAnsiTheme="minorEastAsia"/>
                <w:bCs/>
                <w:color w:val="000000"/>
                <w:sz w:val="24"/>
                <w:szCs w:val="24"/>
              </w:rPr>
              <w:t>4</w:t>
            </w:r>
            <w:r>
              <w:rPr>
                <w:rFonts w:hint="eastAsia" w:cs="Times New Roman" w:asciiTheme="minorEastAsia" w:hAnsiTheme="minorEastAsia"/>
                <w:bCs/>
                <w:color w:val="000000"/>
                <w:sz w:val="24"/>
                <w:szCs w:val="24"/>
              </w:rPr>
              <w:t>分。</w:t>
            </w:r>
          </w:p>
          <w:p w14:paraId="6638D0BB">
            <w:pPr>
              <w:spacing w:line="360" w:lineRule="auto"/>
              <w:jc w:val="left"/>
              <w:rPr>
                <w:rFonts w:cs="Times New Roman" w:asciiTheme="minorEastAsia" w:hAnsiTheme="minorEastAsia"/>
                <w:bCs/>
                <w:color w:val="000000"/>
                <w:sz w:val="24"/>
                <w:szCs w:val="24"/>
              </w:rPr>
            </w:pPr>
            <w:r>
              <w:rPr>
                <w:rFonts w:hint="eastAsia" w:cs="Times New Roman" w:asciiTheme="minorEastAsia" w:hAnsiTheme="minorEastAsia"/>
                <w:bCs/>
                <w:color w:val="000000"/>
                <w:sz w:val="24"/>
                <w:szCs w:val="24"/>
              </w:rPr>
              <w:t>（</w:t>
            </w:r>
            <w:r>
              <w:rPr>
                <w:rFonts w:cs="Times New Roman" w:asciiTheme="minorEastAsia" w:hAnsiTheme="minorEastAsia"/>
                <w:bCs/>
                <w:color w:val="000000"/>
                <w:sz w:val="24"/>
                <w:szCs w:val="24"/>
              </w:rPr>
              <w:t>3</w:t>
            </w:r>
            <w:r>
              <w:rPr>
                <w:rFonts w:hint="eastAsia" w:cs="Times New Roman" w:asciiTheme="minorEastAsia" w:hAnsiTheme="minorEastAsia"/>
                <w:bCs/>
                <w:color w:val="000000"/>
                <w:sz w:val="24"/>
                <w:szCs w:val="24"/>
              </w:rPr>
              <w:t>）、技术服务人员具有国家部委职能机构颁发的数据中心（机房）运维管理工程师证书的，每人得</w:t>
            </w:r>
            <w:r>
              <w:rPr>
                <w:rFonts w:cs="Times New Roman" w:asciiTheme="minorEastAsia" w:hAnsiTheme="minorEastAsia"/>
                <w:bCs/>
                <w:color w:val="000000"/>
                <w:sz w:val="24"/>
                <w:szCs w:val="24"/>
              </w:rPr>
              <w:t>4</w:t>
            </w:r>
            <w:r>
              <w:rPr>
                <w:rFonts w:hint="eastAsia" w:cs="Times New Roman" w:asciiTheme="minorEastAsia" w:hAnsiTheme="minorEastAsia"/>
                <w:bCs/>
                <w:color w:val="000000"/>
                <w:sz w:val="24"/>
                <w:szCs w:val="24"/>
              </w:rPr>
              <w:t>分，本小项满分</w:t>
            </w:r>
            <w:r>
              <w:rPr>
                <w:rFonts w:cs="Times New Roman" w:asciiTheme="minorEastAsia" w:hAnsiTheme="minorEastAsia"/>
                <w:bCs/>
                <w:color w:val="000000"/>
                <w:sz w:val="24"/>
                <w:szCs w:val="24"/>
              </w:rPr>
              <w:t>4</w:t>
            </w:r>
            <w:r>
              <w:rPr>
                <w:rFonts w:hint="eastAsia" w:cs="Times New Roman" w:asciiTheme="minorEastAsia" w:hAnsiTheme="minorEastAsia"/>
                <w:bCs/>
                <w:color w:val="000000"/>
                <w:sz w:val="24"/>
                <w:szCs w:val="24"/>
              </w:rPr>
              <w:t>分。</w:t>
            </w:r>
          </w:p>
          <w:p w14:paraId="311D0542">
            <w:pPr>
              <w:spacing w:line="360" w:lineRule="auto"/>
              <w:jc w:val="left"/>
              <w:rPr>
                <w:rFonts w:cs="Times New Roman" w:asciiTheme="minorEastAsia" w:hAnsiTheme="minorEastAsia"/>
                <w:bCs/>
                <w:color w:val="000000"/>
                <w:sz w:val="24"/>
                <w:szCs w:val="24"/>
              </w:rPr>
            </w:pPr>
            <w:r>
              <w:rPr>
                <w:rFonts w:hint="eastAsia" w:cs="Times New Roman" w:asciiTheme="minorEastAsia" w:hAnsiTheme="minorEastAsia"/>
                <w:bCs/>
                <w:color w:val="000000"/>
                <w:sz w:val="24"/>
                <w:szCs w:val="24"/>
              </w:rPr>
              <w:t>（4）、技术服务人员具有国家部委职能机构颁发的信息安全管理工程师证书的，每人得</w:t>
            </w:r>
            <w:r>
              <w:rPr>
                <w:rFonts w:cs="Times New Roman" w:asciiTheme="minorEastAsia" w:hAnsiTheme="minorEastAsia"/>
                <w:bCs/>
                <w:color w:val="000000"/>
                <w:sz w:val="24"/>
                <w:szCs w:val="24"/>
              </w:rPr>
              <w:t>4</w:t>
            </w:r>
            <w:r>
              <w:rPr>
                <w:rFonts w:hint="eastAsia" w:cs="Times New Roman" w:asciiTheme="minorEastAsia" w:hAnsiTheme="minorEastAsia"/>
                <w:bCs/>
                <w:color w:val="000000"/>
                <w:sz w:val="24"/>
                <w:szCs w:val="24"/>
              </w:rPr>
              <w:t>分，本小项满分</w:t>
            </w:r>
            <w:r>
              <w:rPr>
                <w:rFonts w:cs="Times New Roman" w:asciiTheme="minorEastAsia" w:hAnsiTheme="minorEastAsia"/>
                <w:bCs/>
                <w:color w:val="000000"/>
                <w:sz w:val="24"/>
                <w:szCs w:val="24"/>
              </w:rPr>
              <w:t>4</w:t>
            </w:r>
            <w:r>
              <w:rPr>
                <w:rFonts w:hint="eastAsia" w:cs="Times New Roman" w:asciiTheme="minorEastAsia" w:hAnsiTheme="minorEastAsia"/>
                <w:bCs/>
                <w:color w:val="000000"/>
                <w:sz w:val="24"/>
                <w:szCs w:val="24"/>
              </w:rPr>
              <w:t>分。</w:t>
            </w:r>
          </w:p>
          <w:p w14:paraId="0BED6ED1">
            <w:pPr>
              <w:spacing w:line="360" w:lineRule="auto"/>
              <w:jc w:val="left"/>
              <w:rPr>
                <w:rFonts w:cs="Times New Roman" w:asciiTheme="minorEastAsia" w:hAnsiTheme="minorEastAsia"/>
                <w:bCs/>
                <w:color w:val="000000"/>
                <w:sz w:val="24"/>
                <w:szCs w:val="24"/>
              </w:rPr>
            </w:pPr>
            <w:r>
              <w:rPr>
                <w:rFonts w:hint="eastAsia" w:cs="Times New Roman" w:asciiTheme="minorEastAsia" w:hAnsiTheme="minorEastAsia"/>
                <w:bCs/>
                <w:color w:val="000000"/>
                <w:sz w:val="24"/>
                <w:szCs w:val="24"/>
              </w:rPr>
              <w:t>（</w:t>
            </w:r>
            <w:r>
              <w:rPr>
                <w:rFonts w:cs="Times New Roman" w:asciiTheme="minorEastAsia" w:hAnsiTheme="minorEastAsia"/>
                <w:bCs/>
                <w:color w:val="000000"/>
                <w:sz w:val="24"/>
                <w:szCs w:val="24"/>
              </w:rPr>
              <w:t>5</w:t>
            </w:r>
            <w:r>
              <w:rPr>
                <w:rFonts w:hint="eastAsia" w:cs="Times New Roman" w:asciiTheme="minorEastAsia" w:hAnsiTheme="minorEastAsia"/>
                <w:bCs/>
                <w:color w:val="000000"/>
                <w:sz w:val="24"/>
                <w:szCs w:val="24"/>
              </w:rPr>
              <w:t>）、技术服务人员具有国家部委职能机构颁发的IT运维工程师证书的，每人得</w:t>
            </w:r>
            <w:r>
              <w:rPr>
                <w:rFonts w:cs="Times New Roman" w:asciiTheme="minorEastAsia" w:hAnsiTheme="minorEastAsia"/>
                <w:bCs/>
                <w:color w:val="000000"/>
                <w:sz w:val="24"/>
                <w:szCs w:val="24"/>
              </w:rPr>
              <w:t>4</w:t>
            </w:r>
            <w:r>
              <w:rPr>
                <w:rFonts w:hint="eastAsia" w:cs="Times New Roman" w:asciiTheme="minorEastAsia" w:hAnsiTheme="minorEastAsia"/>
                <w:bCs/>
                <w:color w:val="000000"/>
                <w:sz w:val="24"/>
                <w:szCs w:val="24"/>
              </w:rPr>
              <w:t>分，本小项满分</w:t>
            </w:r>
            <w:r>
              <w:rPr>
                <w:rFonts w:cs="Times New Roman" w:asciiTheme="minorEastAsia" w:hAnsiTheme="minorEastAsia"/>
                <w:bCs/>
                <w:color w:val="000000"/>
                <w:sz w:val="24"/>
                <w:szCs w:val="24"/>
              </w:rPr>
              <w:t>4</w:t>
            </w:r>
            <w:r>
              <w:rPr>
                <w:rFonts w:hint="eastAsia" w:cs="Times New Roman" w:asciiTheme="minorEastAsia" w:hAnsiTheme="minorEastAsia"/>
                <w:bCs/>
                <w:color w:val="000000"/>
                <w:sz w:val="24"/>
                <w:szCs w:val="24"/>
              </w:rPr>
              <w:t>分。</w:t>
            </w:r>
          </w:p>
          <w:p w14:paraId="33FDD10A">
            <w:pPr>
              <w:spacing w:line="360" w:lineRule="auto"/>
              <w:jc w:val="left"/>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注：</w:t>
            </w:r>
          </w:p>
          <w:p w14:paraId="2760874D">
            <w:pPr>
              <w:spacing w:line="360" w:lineRule="auto"/>
              <w:jc w:val="left"/>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1.项目经理仅限一人，所具有证书必须为同一人所有；</w:t>
            </w:r>
          </w:p>
          <w:p w14:paraId="0AC62A90">
            <w:pPr>
              <w:spacing w:line="360" w:lineRule="auto"/>
              <w:jc w:val="left"/>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2.项目技术服务团队同一人员提供多个证书不累计计分，以最高分计一次；</w:t>
            </w:r>
          </w:p>
          <w:p w14:paraId="6F2993D8">
            <w:pPr>
              <w:spacing w:line="360" w:lineRule="auto"/>
              <w:jc w:val="left"/>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3.响应文件中同时提供：</w:t>
            </w:r>
          </w:p>
          <w:p w14:paraId="754C5114">
            <w:pPr>
              <w:spacing w:line="360" w:lineRule="auto"/>
              <w:ind w:firstLine="241" w:firstLineChars="100"/>
              <w:jc w:val="left"/>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（1）上述人员名单（格式自拟）、上述证书扫描件（证书须在有效期内）；</w:t>
            </w:r>
          </w:p>
          <w:p w14:paraId="3C6B3914">
            <w:pPr>
              <w:spacing w:line="360" w:lineRule="auto"/>
              <w:ind w:firstLine="241" w:firstLineChars="100"/>
              <w:jc w:val="left"/>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（2）供应商为以上人员缴纳的近三个月的社保证明材料（任意五险之一即可）。</w:t>
            </w:r>
          </w:p>
        </w:tc>
        <w:tc>
          <w:tcPr>
            <w:tcW w:w="1249" w:type="dxa"/>
            <w:tcBorders>
              <w:top w:val="single" w:color="auto" w:sz="4" w:space="0"/>
              <w:left w:val="single" w:color="auto" w:sz="4" w:space="0"/>
              <w:bottom w:val="single" w:color="auto" w:sz="4" w:space="0"/>
              <w:right w:val="single" w:color="auto" w:sz="4" w:space="0"/>
            </w:tcBorders>
            <w:vAlign w:val="center"/>
          </w:tcPr>
          <w:p w14:paraId="0E1BAB94">
            <w:pPr>
              <w:widowControl/>
              <w:spacing w:line="360" w:lineRule="auto"/>
              <w:ind w:left="-109" w:leftChars="-52" w:right="-107" w:rightChars="-51"/>
              <w:jc w:val="center"/>
              <w:rPr>
                <w:rFonts w:cs="Times New Roman" w:asciiTheme="minorEastAsia" w:hAnsiTheme="minorEastAsia"/>
                <w:color w:val="000000"/>
                <w:sz w:val="24"/>
                <w:szCs w:val="24"/>
                <w:lang w:eastAsia="en-US"/>
              </w:rPr>
            </w:pPr>
            <w:r>
              <w:rPr>
                <w:rFonts w:hint="eastAsia" w:cs="Times New Roman" w:asciiTheme="minorEastAsia" w:hAnsiTheme="minorEastAsia"/>
                <w:color w:val="000000"/>
                <w:sz w:val="24"/>
                <w:szCs w:val="24"/>
                <w:lang w:eastAsia="en-US"/>
              </w:rPr>
              <w:t>0-</w:t>
            </w:r>
            <w:r>
              <w:rPr>
                <w:rFonts w:cs="Times New Roman" w:asciiTheme="minorEastAsia" w:hAnsiTheme="minorEastAsia"/>
                <w:color w:val="000000"/>
                <w:sz w:val="24"/>
                <w:szCs w:val="24"/>
                <w:lang w:eastAsia="en-US"/>
              </w:rPr>
              <w:t>30</w:t>
            </w:r>
            <w:r>
              <w:rPr>
                <w:rFonts w:hint="eastAsia" w:cs="Times New Roman" w:asciiTheme="minorEastAsia" w:hAnsiTheme="minorEastAsia"/>
                <w:color w:val="000000"/>
                <w:sz w:val="24"/>
                <w:szCs w:val="24"/>
              </w:rPr>
              <w:t>分</w:t>
            </w:r>
          </w:p>
        </w:tc>
      </w:tr>
      <w:tr w14:paraId="7F88B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14:paraId="286916DB">
            <w:pPr>
              <w:widowControl/>
              <w:spacing w:line="360" w:lineRule="auto"/>
              <w:ind w:left="-109" w:leftChars="-52" w:right="-107" w:rightChars="-51"/>
              <w:jc w:val="center"/>
              <w:rPr>
                <w:rFonts w:cs="Times New Roman" w:asciiTheme="minorEastAsia" w:hAnsiTheme="minorEastAsia"/>
                <w:color w:val="000000"/>
                <w:sz w:val="24"/>
                <w:szCs w:val="24"/>
                <w:lang w:eastAsia="en-US"/>
              </w:rPr>
            </w:pPr>
            <w:r>
              <w:rPr>
                <w:rFonts w:cs="Times New Roman" w:asciiTheme="minorEastAsia" w:hAnsiTheme="minorEastAsia"/>
                <w:color w:val="000000"/>
                <w:sz w:val="24"/>
                <w:szCs w:val="24"/>
                <w:lang w:eastAsia="en-US"/>
              </w:rPr>
              <w:t>4</w:t>
            </w:r>
          </w:p>
        </w:tc>
        <w:tc>
          <w:tcPr>
            <w:tcW w:w="1280" w:type="dxa"/>
            <w:tcBorders>
              <w:top w:val="single" w:color="auto" w:sz="4" w:space="0"/>
              <w:left w:val="single" w:color="auto" w:sz="4" w:space="0"/>
              <w:bottom w:val="single" w:color="auto" w:sz="4" w:space="0"/>
              <w:right w:val="single" w:color="auto" w:sz="4" w:space="0"/>
            </w:tcBorders>
            <w:vAlign w:val="center"/>
          </w:tcPr>
          <w:p w14:paraId="6F3149CB">
            <w:pPr>
              <w:widowControl/>
              <w:spacing w:line="360" w:lineRule="auto"/>
              <w:ind w:left="-109" w:leftChars="-52" w:right="-107" w:rightChars="-51"/>
              <w:jc w:val="center"/>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投标业绩</w:t>
            </w:r>
          </w:p>
        </w:tc>
        <w:tc>
          <w:tcPr>
            <w:tcW w:w="6113" w:type="dxa"/>
            <w:tcBorders>
              <w:top w:val="single" w:color="auto" w:sz="4" w:space="0"/>
              <w:left w:val="single" w:color="auto" w:sz="4" w:space="0"/>
              <w:bottom w:val="single" w:color="auto" w:sz="4" w:space="0"/>
              <w:right w:val="single" w:color="auto" w:sz="4" w:space="0"/>
            </w:tcBorders>
            <w:vAlign w:val="center"/>
          </w:tcPr>
          <w:p w14:paraId="5326AF30">
            <w:pPr>
              <w:spacing w:line="360" w:lineRule="auto"/>
              <w:ind w:firstLine="480" w:firstLineChars="200"/>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自202</w:t>
            </w:r>
            <w:r>
              <w:rPr>
                <w:rFonts w:cs="Times New Roman" w:asciiTheme="minorEastAsia" w:hAnsiTheme="minorEastAsia"/>
                <w:color w:val="000000"/>
                <w:sz w:val="24"/>
                <w:szCs w:val="24"/>
              </w:rPr>
              <w:t>3</w:t>
            </w:r>
            <w:r>
              <w:rPr>
                <w:rFonts w:hint="eastAsia" w:cs="Times New Roman" w:asciiTheme="minorEastAsia" w:hAnsiTheme="minorEastAsia"/>
                <w:color w:val="000000"/>
                <w:sz w:val="24"/>
                <w:szCs w:val="24"/>
              </w:rPr>
              <w:t>年1月1日以来，供应商具有校园或党政机关、事业单位委托的智能化或信息化运维项目业绩的，每提供一个得</w:t>
            </w:r>
            <w:r>
              <w:rPr>
                <w:rFonts w:cs="Times New Roman" w:asciiTheme="minorEastAsia" w:hAnsiTheme="minorEastAsia"/>
                <w:color w:val="000000"/>
                <w:sz w:val="24"/>
                <w:szCs w:val="24"/>
              </w:rPr>
              <w:t>3</w:t>
            </w:r>
            <w:r>
              <w:rPr>
                <w:rFonts w:hint="eastAsia" w:cs="Times New Roman" w:asciiTheme="minorEastAsia" w:hAnsiTheme="minorEastAsia"/>
                <w:color w:val="000000"/>
                <w:sz w:val="24"/>
                <w:szCs w:val="24"/>
              </w:rPr>
              <w:t>分，满分</w:t>
            </w:r>
            <w:r>
              <w:rPr>
                <w:rFonts w:cs="Times New Roman" w:asciiTheme="minorEastAsia" w:hAnsiTheme="minorEastAsia"/>
                <w:color w:val="000000"/>
                <w:sz w:val="24"/>
                <w:szCs w:val="24"/>
              </w:rPr>
              <w:t>15</w:t>
            </w:r>
            <w:r>
              <w:rPr>
                <w:rFonts w:hint="eastAsia" w:cs="Times New Roman" w:asciiTheme="minorEastAsia" w:hAnsiTheme="minorEastAsia"/>
                <w:color w:val="000000"/>
                <w:sz w:val="24"/>
                <w:szCs w:val="24"/>
              </w:rPr>
              <w:t>分。</w:t>
            </w:r>
          </w:p>
          <w:p w14:paraId="075C1CAF">
            <w:pPr>
              <w:spacing w:line="360" w:lineRule="auto"/>
              <w:ind w:firstLine="480" w:firstLineChars="200"/>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注：（1）投标文件中提供业绩合同扫描件，如合同中无法体现合同签订时间、项目内容等关键评审因素的，需另附业主单位（合同甲方）出具的证明材料扫描件。（2）正在履约的和已完成项目业绩均予以认可。（3）党政机关包括党的机关、人大机关、行政机关、政协机关、审判机关、检察机关、及各级党政机关派出机构、直属事业单位及工会、共青团、妇联等。</w:t>
            </w:r>
          </w:p>
        </w:tc>
        <w:tc>
          <w:tcPr>
            <w:tcW w:w="1249" w:type="dxa"/>
            <w:tcBorders>
              <w:top w:val="single" w:color="auto" w:sz="4" w:space="0"/>
              <w:left w:val="single" w:color="auto" w:sz="4" w:space="0"/>
              <w:bottom w:val="single" w:color="auto" w:sz="4" w:space="0"/>
              <w:right w:val="single" w:color="auto" w:sz="4" w:space="0"/>
            </w:tcBorders>
            <w:vAlign w:val="center"/>
          </w:tcPr>
          <w:p w14:paraId="12708D2C">
            <w:pPr>
              <w:widowControl/>
              <w:spacing w:line="360" w:lineRule="auto"/>
              <w:ind w:left="-109" w:leftChars="-52" w:right="-107" w:rightChars="-51"/>
              <w:jc w:val="center"/>
              <w:rPr>
                <w:rFonts w:cs="Times New Roman" w:asciiTheme="minorEastAsia" w:hAnsiTheme="minorEastAsia"/>
                <w:color w:val="000000"/>
                <w:sz w:val="24"/>
                <w:szCs w:val="24"/>
                <w:lang w:eastAsia="en-US"/>
              </w:rPr>
            </w:pPr>
            <w:r>
              <w:rPr>
                <w:rFonts w:hint="eastAsia" w:cs="Times New Roman" w:asciiTheme="minorEastAsia" w:hAnsiTheme="minorEastAsia"/>
                <w:color w:val="000000"/>
                <w:sz w:val="24"/>
                <w:szCs w:val="24"/>
                <w:lang w:eastAsia="en-US"/>
              </w:rPr>
              <w:t>0-</w:t>
            </w:r>
            <w:r>
              <w:rPr>
                <w:rFonts w:cs="Times New Roman" w:asciiTheme="minorEastAsia" w:hAnsiTheme="minorEastAsia"/>
                <w:color w:val="000000"/>
                <w:sz w:val="24"/>
                <w:szCs w:val="24"/>
                <w:lang w:eastAsia="en-US"/>
              </w:rPr>
              <w:t>15</w:t>
            </w:r>
            <w:r>
              <w:rPr>
                <w:rFonts w:hint="eastAsia" w:cs="Times New Roman" w:asciiTheme="minorEastAsia" w:hAnsiTheme="minorEastAsia"/>
                <w:color w:val="000000"/>
                <w:sz w:val="24"/>
                <w:szCs w:val="24"/>
              </w:rPr>
              <w:t>分</w:t>
            </w:r>
          </w:p>
        </w:tc>
      </w:tr>
      <w:tr w14:paraId="61941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02" w:type="dxa"/>
            <w:gridSpan w:val="3"/>
            <w:tcBorders>
              <w:top w:val="single" w:color="auto" w:sz="4" w:space="0"/>
              <w:left w:val="single" w:color="auto" w:sz="4" w:space="0"/>
              <w:bottom w:val="single" w:color="auto" w:sz="4" w:space="0"/>
              <w:right w:val="single" w:color="auto" w:sz="4" w:space="0"/>
            </w:tcBorders>
            <w:vAlign w:val="center"/>
          </w:tcPr>
          <w:p w14:paraId="5FF8C590">
            <w:pPr>
              <w:widowControl/>
              <w:spacing w:line="360" w:lineRule="auto"/>
              <w:ind w:left="-109" w:leftChars="-52" w:right="-107" w:rightChars="-51"/>
              <w:jc w:val="center"/>
              <w:rPr>
                <w:rFonts w:cs="Times New Roman" w:asciiTheme="minorEastAsia" w:hAnsiTheme="minorEastAsia"/>
                <w:color w:val="000000"/>
                <w:sz w:val="24"/>
                <w:szCs w:val="24"/>
                <w:lang w:eastAsia="en-US"/>
              </w:rPr>
            </w:pPr>
            <w:r>
              <w:rPr>
                <w:rFonts w:hint="eastAsia" w:cs="Times New Roman" w:asciiTheme="minorEastAsia" w:hAnsiTheme="minorEastAsia"/>
                <w:color w:val="000000"/>
                <w:sz w:val="24"/>
                <w:szCs w:val="24"/>
              </w:rPr>
              <w:t>本项合计</w:t>
            </w:r>
          </w:p>
        </w:tc>
        <w:tc>
          <w:tcPr>
            <w:tcW w:w="1249" w:type="dxa"/>
            <w:tcBorders>
              <w:top w:val="single" w:color="auto" w:sz="4" w:space="0"/>
              <w:left w:val="single" w:color="auto" w:sz="4" w:space="0"/>
              <w:bottom w:val="single" w:color="auto" w:sz="4" w:space="0"/>
              <w:right w:val="single" w:color="auto" w:sz="4" w:space="0"/>
            </w:tcBorders>
            <w:vAlign w:val="center"/>
          </w:tcPr>
          <w:p w14:paraId="64AD62D3">
            <w:pPr>
              <w:widowControl/>
              <w:spacing w:line="360" w:lineRule="auto"/>
              <w:ind w:left="-109" w:leftChars="-52" w:right="-107" w:rightChars="-51"/>
              <w:jc w:val="center"/>
              <w:rPr>
                <w:rFonts w:cs="Times New Roman" w:asciiTheme="minorEastAsia" w:hAnsiTheme="minorEastAsia"/>
                <w:color w:val="000000"/>
                <w:sz w:val="24"/>
                <w:szCs w:val="24"/>
                <w:lang w:eastAsia="en-US"/>
              </w:rPr>
            </w:pPr>
            <w:r>
              <w:rPr>
                <w:rFonts w:cs="Times New Roman" w:asciiTheme="minorEastAsia" w:hAnsiTheme="minorEastAsia"/>
                <w:color w:val="000000"/>
                <w:sz w:val="24"/>
                <w:szCs w:val="24"/>
                <w:lang w:eastAsia="en-US"/>
              </w:rPr>
              <w:t>9</w:t>
            </w:r>
            <w:r>
              <w:rPr>
                <w:rFonts w:hint="eastAsia" w:cs="Times New Roman" w:asciiTheme="minorEastAsia" w:hAnsiTheme="minorEastAsia"/>
                <w:color w:val="000000"/>
                <w:sz w:val="24"/>
                <w:szCs w:val="24"/>
                <w:lang w:eastAsia="en-US"/>
              </w:rPr>
              <w:t>0</w:t>
            </w:r>
            <w:r>
              <w:rPr>
                <w:rFonts w:hint="eastAsia" w:cs="Times New Roman" w:asciiTheme="minorEastAsia" w:hAnsiTheme="minorEastAsia"/>
                <w:color w:val="000000"/>
                <w:sz w:val="24"/>
                <w:szCs w:val="24"/>
              </w:rPr>
              <w:t>分</w:t>
            </w:r>
          </w:p>
        </w:tc>
      </w:tr>
    </w:tbl>
    <w:p w14:paraId="6466EEC9">
      <w:pPr>
        <w:spacing w:line="360" w:lineRule="auto"/>
        <w:ind w:firstLine="480" w:firstLineChars="200"/>
        <w:rPr>
          <w:rFonts w:asciiTheme="minorEastAsia" w:hAnsiTheme="minorEastAsia"/>
          <w:sz w:val="24"/>
          <w:szCs w:val="24"/>
        </w:rPr>
      </w:pPr>
    </w:p>
    <w:p w14:paraId="6857B896">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w:t>
      </w:r>
      <w:r>
        <w:rPr>
          <w:rFonts w:asciiTheme="minorEastAsia" w:hAnsiTheme="minorEastAsia"/>
          <w:sz w:val="24"/>
          <w:szCs w:val="24"/>
        </w:rPr>
        <w:t>3</w:t>
      </w:r>
      <w:r>
        <w:rPr>
          <w:rFonts w:hint="eastAsia" w:asciiTheme="minorEastAsia" w:hAnsiTheme="minorEastAsia"/>
          <w:sz w:val="24"/>
          <w:szCs w:val="24"/>
        </w:rPr>
        <w:t>）、报价部分得分计算如下：</w:t>
      </w:r>
    </w:p>
    <w:p w14:paraId="21D62FF8">
      <w:pPr>
        <w:spacing w:line="360" w:lineRule="auto"/>
        <w:rPr>
          <w:rFonts w:asciiTheme="minorEastAsia" w:hAnsiTheme="minorEastAsia"/>
          <w:sz w:val="24"/>
          <w:szCs w:val="24"/>
        </w:rPr>
      </w:pPr>
      <w:r>
        <w:rPr>
          <w:rFonts w:hint="eastAsia" w:asciiTheme="minorEastAsia" w:hAnsiTheme="minorEastAsia"/>
          <w:sz w:val="24"/>
          <w:szCs w:val="24"/>
        </w:rPr>
        <w:t>依据通过初审的有效供应商名单，其供应商的报价部分得分按照以下方式计算：</w:t>
      </w:r>
    </w:p>
    <w:tbl>
      <w:tblPr>
        <w:tblStyle w:val="3"/>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001"/>
        <w:gridCol w:w="6113"/>
        <w:gridCol w:w="1249"/>
      </w:tblGrid>
      <w:tr w14:paraId="47E36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14:paraId="4ECE0C9F">
            <w:pPr>
              <w:widowControl/>
              <w:spacing w:line="360" w:lineRule="auto"/>
              <w:ind w:left="-109" w:leftChars="-52" w:right="-107" w:rightChars="-51"/>
              <w:jc w:val="center"/>
              <w:rPr>
                <w:rFonts w:cs="Times New Roman" w:asciiTheme="minorEastAsia" w:hAnsiTheme="minorEastAsia"/>
                <w:b/>
                <w:color w:val="000000"/>
                <w:sz w:val="24"/>
                <w:szCs w:val="24"/>
                <w:lang w:eastAsia="en-US"/>
              </w:rPr>
            </w:pPr>
            <w:r>
              <w:rPr>
                <w:rFonts w:hint="eastAsia" w:cs="Times New Roman" w:asciiTheme="minorEastAsia" w:hAnsiTheme="minorEastAsia"/>
                <w:b/>
                <w:color w:val="000000"/>
                <w:sz w:val="24"/>
                <w:szCs w:val="24"/>
              </w:rPr>
              <w:t>报价部分</w:t>
            </w:r>
          </w:p>
        </w:tc>
        <w:tc>
          <w:tcPr>
            <w:tcW w:w="1001" w:type="dxa"/>
            <w:tcBorders>
              <w:top w:val="single" w:color="auto" w:sz="4" w:space="0"/>
              <w:left w:val="single" w:color="auto" w:sz="4" w:space="0"/>
              <w:bottom w:val="single" w:color="auto" w:sz="4" w:space="0"/>
              <w:right w:val="single" w:color="auto" w:sz="4" w:space="0"/>
            </w:tcBorders>
            <w:vAlign w:val="center"/>
          </w:tcPr>
          <w:p w14:paraId="6794F0B2">
            <w:pPr>
              <w:widowControl/>
              <w:spacing w:line="360" w:lineRule="auto"/>
              <w:ind w:left="-109" w:leftChars="-52" w:right="-107" w:rightChars="-51"/>
              <w:jc w:val="center"/>
              <w:rPr>
                <w:rFonts w:cs="Times New Roman" w:asciiTheme="minorEastAsia" w:hAnsiTheme="minorEastAsia"/>
                <w:b/>
                <w:color w:val="000000"/>
                <w:sz w:val="24"/>
                <w:szCs w:val="24"/>
                <w:lang w:eastAsia="en-US"/>
              </w:rPr>
            </w:pPr>
            <w:r>
              <w:rPr>
                <w:rFonts w:hint="eastAsia" w:cs="Times New Roman" w:asciiTheme="minorEastAsia" w:hAnsiTheme="minorEastAsia"/>
                <w:b/>
                <w:color w:val="000000"/>
                <w:sz w:val="24"/>
                <w:szCs w:val="24"/>
              </w:rPr>
              <w:t>响应报价</w:t>
            </w:r>
          </w:p>
        </w:tc>
        <w:tc>
          <w:tcPr>
            <w:tcW w:w="6113" w:type="dxa"/>
            <w:tcBorders>
              <w:top w:val="single" w:color="auto" w:sz="4" w:space="0"/>
              <w:left w:val="single" w:color="auto" w:sz="4" w:space="0"/>
              <w:bottom w:val="single" w:color="auto" w:sz="4" w:space="0"/>
              <w:right w:val="single" w:color="auto" w:sz="4" w:space="0"/>
            </w:tcBorders>
            <w:vAlign w:val="center"/>
          </w:tcPr>
          <w:p w14:paraId="4617B472">
            <w:pPr>
              <w:widowControl/>
              <w:spacing w:line="300" w:lineRule="auto"/>
              <w:jc w:val="left"/>
              <w:rPr>
                <w:rFonts w:cs="Times New Roman" w:asciiTheme="minorEastAsia" w:hAnsiTheme="minorEastAsia"/>
                <w:color w:val="000000"/>
                <w:sz w:val="24"/>
                <w:szCs w:val="24"/>
              </w:rPr>
            </w:pPr>
            <w:r>
              <w:rPr>
                <w:rFonts w:hint="eastAsia" w:ascii="宋体" w:hAnsi="宋体" w:eastAsia="宋体" w:cs="宋体"/>
                <w:color w:val="000000"/>
                <w:kern w:val="0"/>
                <w:sz w:val="24"/>
                <w:szCs w:val="24"/>
              </w:rPr>
              <w:t xml:space="preserve">价格分统一采用有效最低价法，即满足询比文件要求且响应 报价最低的报价为评标基准价，其价格分为满分。其他供应商的价格分统一按照下列公式计算：投标报价得分＝（评标基准价/响应报价）× </w:t>
            </w:r>
            <w:r>
              <w:rPr>
                <w:rFonts w:ascii="宋体" w:hAnsi="宋体" w:eastAsia="宋体" w:cs="宋体"/>
                <w:color w:val="000000"/>
                <w:kern w:val="0"/>
                <w:sz w:val="24"/>
                <w:szCs w:val="24"/>
              </w:rPr>
              <w:t>1</w:t>
            </w:r>
            <w:r>
              <w:rPr>
                <w:rFonts w:hint="eastAsia" w:ascii="宋体" w:hAnsi="宋体" w:eastAsia="宋体" w:cs="宋体"/>
                <w:color w:val="000000"/>
                <w:kern w:val="0"/>
                <w:sz w:val="24"/>
                <w:szCs w:val="24"/>
              </w:rPr>
              <w:t>0％×100</w:t>
            </w:r>
          </w:p>
        </w:tc>
        <w:tc>
          <w:tcPr>
            <w:tcW w:w="1249" w:type="dxa"/>
            <w:tcBorders>
              <w:top w:val="single" w:color="auto" w:sz="4" w:space="0"/>
              <w:left w:val="single" w:color="auto" w:sz="4" w:space="0"/>
              <w:bottom w:val="single" w:color="auto" w:sz="4" w:space="0"/>
              <w:right w:val="single" w:color="auto" w:sz="4" w:space="0"/>
            </w:tcBorders>
            <w:vAlign w:val="center"/>
          </w:tcPr>
          <w:p w14:paraId="67E2CE69">
            <w:pPr>
              <w:widowControl/>
              <w:spacing w:line="360" w:lineRule="auto"/>
              <w:ind w:left="-109" w:leftChars="-52" w:right="-107" w:rightChars="-51"/>
              <w:jc w:val="center"/>
              <w:rPr>
                <w:rFonts w:cs="Times New Roman" w:asciiTheme="minorEastAsia" w:hAnsiTheme="minorEastAsia"/>
                <w:color w:val="000000"/>
                <w:sz w:val="24"/>
                <w:szCs w:val="24"/>
                <w:lang w:eastAsia="en-US"/>
              </w:rPr>
            </w:pPr>
            <w:r>
              <w:rPr>
                <w:rFonts w:hint="eastAsia" w:cs="Times New Roman" w:asciiTheme="minorEastAsia" w:hAnsiTheme="minorEastAsia"/>
                <w:color w:val="000000"/>
                <w:sz w:val="24"/>
                <w:szCs w:val="24"/>
                <w:lang w:eastAsia="en-US"/>
              </w:rPr>
              <w:t>0-</w:t>
            </w:r>
            <w:r>
              <w:rPr>
                <w:rFonts w:cs="Times New Roman" w:asciiTheme="minorEastAsia" w:hAnsiTheme="minorEastAsia"/>
                <w:color w:val="000000"/>
                <w:sz w:val="24"/>
                <w:szCs w:val="24"/>
                <w:lang w:eastAsia="en-US"/>
              </w:rPr>
              <w:t>10</w:t>
            </w:r>
            <w:r>
              <w:rPr>
                <w:rFonts w:hint="eastAsia" w:cs="Times New Roman" w:asciiTheme="minorEastAsia" w:hAnsiTheme="minorEastAsia"/>
                <w:color w:val="000000"/>
                <w:sz w:val="24"/>
                <w:szCs w:val="24"/>
              </w:rPr>
              <w:t>分</w:t>
            </w:r>
          </w:p>
        </w:tc>
      </w:tr>
    </w:tbl>
    <w:p w14:paraId="3173E556">
      <w:pPr>
        <w:spacing w:line="360" w:lineRule="auto"/>
        <w:rPr>
          <w:rFonts w:asciiTheme="minorEastAsia" w:hAnsiTheme="minorEastAsia"/>
          <w:sz w:val="24"/>
          <w:szCs w:val="24"/>
        </w:rPr>
      </w:pPr>
    </w:p>
    <w:p w14:paraId="19AB2BF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w:t>
      </w:r>
      <w:r>
        <w:rPr>
          <w:rFonts w:asciiTheme="minorEastAsia" w:hAnsiTheme="minorEastAsia"/>
          <w:sz w:val="24"/>
          <w:szCs w:val="24"/>
        </w:rPr>
        <w:t>4</w:t>
      </w:r>
      <w:r>
        <w:rPr>
          <w:rFonts w:hint="eastAsia" w:asciiTheme="minorEastAsia" w:hAnsiTheme="minorEastAsia"/>
          <w:sz w:val="24"/>
          <w:szCs w:val="24"/>
        </w:rPr>
        <w:t>）、确定成交候选人：</w:t>
      </w:r>
    </w:p>
    <w:p w14:paraId="24147247">
      <w:pPr>
        <w:widowControl/>
        <w:spacing w:line="360" w:lineRule="auto"/>
        <w:jc w:val="left"/>
        <w:rPr>
          <w:rFonts w:cs="宋体" w:asciiTheme="minorEastAsia" w:hAnsiTheme="minorEastAsia"/>
          <w:kern w:val="0"/>
          <w:sz w:val="24"/>
          <w:szCs w:val="24"/>
        </w:rPr>
      </w:pPr>
      <w:r>
        <w:rPr>
          <w:rFonts w:hint="eastAsia" w:cs="宋体" w:asciiTheme="minorEastAsia" w:hAnsiTheme="minorEastAsia"/>
          <w:color w:val="000000"/>
          <w:kern w:val="0"/>
          <w:sz w:val="24"/>
          <w:szCs w:val="24"/>
        </w:rPr>
        <w:t xml:space="preserve">A、计算最终得分 </w:t>
      </w:r>
    </w:p>
    <w:p w14:paraId="3F63D568">
      <w:pPr>
        <w:widowControl/>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color w:val="000000"/>
          <w:kern w:val="0"/>
          <w:sz w:val="24"/>
          <w:szCs w:val="24"/>
        </w:rPr>
        <w:t xml:space="preserve">将每个有效供应商的商务技术部分得分加报价部分得分，得出该供应商的最终得分。 供应商的各项得分均保留小数点后两位（小数点后第三位四舍五入）。 </w:t>
      </w:r>
    </w:p>
    <w:p w14:paraId="3EF7912A">
      <w:pPr>
        <w:widowControl/>
        <w:spacing w:line="360" w:lineRule="auto"/>
        <w:jc w:val="left"/>
        <w:rPr>
          <w:rFonts w:cs="宋体" w:asciiTheme="minorEastAsia" w:hAnsiTheme="minorEastAsia"/>
          <w:kern w:val="0"/>
          <w:sz w:val="24"/>
          <w:szCs w:val="24"/>
        </w:rPr>
      </w:pPr>
      <w:r>
        <w:rPr>
          <w:rFonts w:hint="eastAsia" w:cs="宋体" w:asciiTheme="minorEastAsia" w:hAnsiTheme="minorEastAsia"/>
          <w:color w:val="000000"/>
          <w:kern w:val="0"/>
          <w:sz w:val="24"/>
          <w:szCs w:val="24"/>
        </w:rPr>
        <w:t xml:space="preserve">B、按照有效供应商最终得分由高到低排出成交候选人。 </w:t>
      </w:r>
    </w:p>
    <w:p w14:paraId="5C984172">
      <w:pPr>
        <w:widowControl/>
        <w:spacing w:line="360" w:lineRule="auto"/>
        <w:ind w:firstLine="480" w:firstLineChars="200"/>
        <w:jc w:val="left"/>
        <w:rPr>
          <w:rFonts w:asciiTheme="minorEastAsia" w:hAnsiTheme="minorEastAsia"/>
          <w:sz w:val="24"/>
          <w:szCs w:val="24"/>
        </w:rPr>
      </w:pPr>
      <w:r>
        <w:rPr>
          <w:rFonts w:hint="eastAsia" w:cs="宋体" w:asciiTheme="minorEastAsia" w:hAnsiTheme="minorEastAsia"/>
          <w:color w:val="000000"/>
          <w:kern w:val="0"/>
          <w:sz w:val="24"/>
          <w:szCs w:val="24"/>
        </w:rPr>
        <w:t>最终得分相同的，按商务技术部分得分由高到低顺序排序。商务技术部分得分及最终得分均相同的，则采取询比小组抽签方式确定其前后次序。</w:t>
      </w:r>
    </w:p>
    <w:p w14:paraId="19FD268F">
      <w:pPr>
        <w:spacing w:line="360" w:lineRule="auto"/>
        <w:rPr>
          <w:rFonts w:asciiTheme="minorEastAsia" w:hAnsiTheme="minorEastAsia"/>
          <w:sz w:val="24"/>
          <w:szCs w:val="24"/>
        </w:rPr>
      </w:pPr>
    </w:p>
    <w:p w14:paraId="621F7A36">
      <w:pPr>
        <w:spacing w:line="360" w:lineRule="auto"/>
        <w:rPr>
          <w:rFonts w:asciiTheme="minorEastAsia" w:hAnsiTheme="minorEastAsia"/>
          <w:sz w:val="24"/>
          <w:szCs w:val="24"/>
        </w:rPr>
      </w:pPr>
    </w:p>
    <w:p w14:paraId="435BEAF4">
      <w:pPr>
        <w:spacing w:line="360" w:lineRule="auto"/>
        <w:rPr>
          <w:rFonts w:asciiTheme="minorEastAsia" w:hAnsiTheme="minorEastAsia"/>
          <w:sz w:val="24"/>
          <w:szCs w:val="24"/>
        </w:rPr>
      </w:pPr>
    </w:p>
    <w:p w14:paraId="50D5BD2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7A32A6"/>
    <w:rsid w:val="5EF54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spacing w:before="340" w:after="330" w:line="576" w:lineRule="auto"/>
      <w:outlineLvl w:val="0"/>
    </w:pPr>
    <w:rPr>
      <w:rFonts w:ascii="Times New Roman" w:hAnsi="Times New Roman" w:eastAsia="宋体" w:cs="Times New Roman"/>
      <w:b/>
      <w:bCs/>
      <w:kern w:val="44"/>
      <w:sz w:val="44"/>
      <w:szCs w:val="44"/>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Table Text"/>
    <w:basedOn w:val="1"/>
    <w:semiHidden/>
    <w:qFormat/>
    <w:uiPriority w:val="0"/>
    <w:pPr>
      <w:widowControl/>
      <w:kinsoku w:val="0"/>
      <w:autoSpaceDE w:val="0"/>
      <w:autoSpaceDN w:val="0"/>
      <w:adjustRightInd w:val="0"/>
      <w:snapToGrid w:val="0"/>
      <w:jc w:val="left"/>
      <w:textAlignment w:val="baseline"/>
    </w:pPr>
    <w:rPr>
      <w:rFonts w:ascii="宋体" w:hAnsi="宋体" w:eastAsia="宋体" w:cs="宋体"/>
      <w:color w:val="000000"/>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2977</Words>
  <Characters>3042</Characters>
  <Lines>0</Lines>
  <Paragraphs>0</Paragraphs>
  <TotalTime>0</TotalTime>
  <ScaleCrop>false</ScaleCrop>
  <LinksUpToDate>false</LinksUpToDate>
  <CharactersWithSpaces>3088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2025-10-29T07:13:00Z</dcterms:created>
  <dc:creator>hp</dc:creator>
  <cp:lastModifiedBy>zlc</cp:lastModifiedBy>
  <dcterms:modified xsi:type="dcterms:W3CDTF">2025-10-29T07:17:44Z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eyJoZGlkIjoiYzkwY2MzNDA3MDdhNTM2ZjYzNWYwNzY2YWEwMjg2NzgiLCJ1c2VySWQiOiIyNjE5Nzg1MDEifQ==</vt:lpwstr>
  </property>
  <property fmtid="{D5CDD505-2E9C-101B-9397-08002B2CF9AE}" pid="4" name="ICV">
    <vt:lpwstr>A55693C8A49A49808F6F85DDD77B4363_12</vt:lpwstr>
  </property>
</Properties>
</file>